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FD631" w14:textId="70703BC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15E0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15E08" w:rsidRPr="00A15E08">
        <w:rPr>
          <w:sz w:val="32"/>
          <w:szCs w:val="32"/>
        </w:rPr>
        <w:t>2001791</w:t>
      </w:r>
    </w:p>
    <w:p w14:paraId="43B8D830" w14:textId="14AB7C51" w:rsidR="00E90E49" w:rsidRPr="00CE0424" w:rsidRDefault="00A15E08" w:rsidP="00311702">
      <w:pPr>
        <w:pStyle w:val="3GPPHeader"/>
      </w:pPr>
      <w:r w:rsidRPr="00A15E08">
        <w:t>e-Meeting, April 20th – 30th, 2020</w:t>
      </w:r>
    </w:p>
    <w:p w14:paraId="254A80BB" w14:textId="77777777" w:rsidR="00E90E49" w:rsidRPr="00CE0424" w:rsidRDefault="00E90E49" w:rsidP="00357380">
      <w:pPr>
        <w:pStyle w:val="3GPPHeader"/>
      </w:pPr>
    </w:p>
    <w:p w14:paraId="363950DD" w14:textId="0CBAE25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A15E08" w:rsidRPr="00A15E08">
        <w:rPr>
          <w:sz w:val="22"/>
          <w:szCs w:val="22"/>
          <w:lang w:val="sv-FI"/>
        </w:rPr>
        <w:t>7.2.11.5</w:t>
      </w:r>
    </w:p>
    <w:p w14:paraId="4FDFFA5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939D17" w14:textId="25BC7663" w:rsidR="00E90E49" w:rsidRPr="00CE0424" w:rsidRDefault="003D3C45" w:rsidP="00311702">
      <w:pPr>
        <w:pStyle w:val="3GPPHeader"/>
        <w:rPr>
          <w:sz w:val="22"/>
          <w:szCs w:val="22"/>
        </w:rPr>
      </w:pPr>
      <w:r>
        <w:rPr>
          <w:sz w:val="22"/>
          <w:szCs w:val="22"/>
        </w:rPr>
        <w:t>Title:</w:t>
      </w:r>
      <w:r w:rsidR="00E90E49" w:rsidRPr="00CE0424">
        <w:rPr>
          <w:sz w:val="22"/>
          <w:szCs w:val="22"/>
        </w:rPr>
        <w:tab/>
      </w:r>
      <w:r w:rsidR="00A15E08" w:rsidRPr="00A15E08">
        <w:rPr>
          <w:sz w:val="22"/>
          <w:szCs w:val="22"/>
        </w:rPr>
        <w:t xml:space="preserve">On UE Features for URLLC and </w:t>
      </w:r>
      <w:proofErr w:type="spellStart"/>
      <w:r w:rsidR="00A15E08" w:rsidRPr="00A15E08">
        <w:rPr>
          <w:sz w:val="22"/>
          <w:szCs w:val="22"/>
        </w:rPr>
        <w:t>IIoT</w:t>
      </w:r>
      <w:proofErr w:type="spellEnd"/>
    </w:p>
    <w:p w14:paraId="5FFE721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15E08">
        <w:rPr>
          <w:sz w:val="22"/>
          <w:szCs w:val="22"/>
        </w:rPr>
        <w:t>Discussion, Decision</w:t>
      </w:r>
    </w:p>
    <w:p w14:paraId="3F6CBEEB" w14:textId="77777777" w:rsidR="00E90E49" w:rsidRPr="00CE0424" w:rsidRDefault="00E90E49" w:rsidP="00E90E49"/>
    <w:p w14:paraId="49E504ED" w14:textId="77777777" w:rsidR="00E90E49" w:rsidRPr="00CE0424" w:rsidRDefault="00230D18" w:rsidP="00CE0424">
      <w:pPr>
        <w:pStyle w:val="Heading1"/>
      </w:pPr>
      <w:r>
        <w:t>1</w:t>
      </w:r>
      <w:r>
        <w:tab/>
      </w:r>
      <w:r w:rsidR="00E90E49" w:rsidRPr="00CE0424">
        <w:t>Introduction</w:t>
      </w:r>
    </w:p>
    <w:p w14:paraId="6BF8358D" w14:textId="189F75D5" w:rsidR="00F373D9" w:rsidRDefault="00F373D9" w:rsidP="00CE0424">
      <w:pPr>
        <w:pStyle w:val="BodyText"/>
      </w:pPr>
      <w:r>
        <w:t xml:space="preserve">Currently in RAN1, UE feature of NR is been intensively discussed for Rel-16. After RAN1#100 e-meeting, </w:t>
      </w:r>
      <w:r w:rsidRPr="004240BC">
        <w:t>R1-2001484</w:t>
      </w:r>
      <w:r>
        <w:t xml:space="preserve"> </w:t>
      </w:r>
      <w:r w:rsidR="00C81129">
        <w:t>summarizes</w:t>
      </w:r>
      <w:r>
        <w:t xml:space="preserve"> the outcome of </w:t>
      </w:r>
      <w:r w:rsidR="00C81129">
        <w:t xml:space="preserve">NR </w:t>
      </w:r>
      <w:r>
        <w:t xml:space="preserve">UE feature discussion. </w:t>
      </w:r>
    </w:p>
    <w:p w14:paraId="71FAE3D8" w14:textId="6DC6B087" w:rsidR="00477768" w:rsidRPr="00CE0424" w:rsidRDefault="00F373D9" w:rsidP="00CE0424">
      <w:pPr>
        <w:pStyle w:val="BodyText"/>
      </w:pPr>
      <w:r>
        <w:t xml:space="preserve">In this contribution, we further discuss several feature groups for </w:t>
      </w:r>
      <w:r w:rsidRPr="00F373D9">
        <w:t>NR_L1enh_URLLC</w:t>
      </w:r>
      <w:r>
        <w:t xml:space="preserve"> and </w:t>
      </w:r>
      <w:proofErr w:type="spellStart"/>
      <w:r>
        <w:t>NR_IIoT</w:t>
      </w:r>
      <w:proofErr w:type="spellEnd"/>
      <w:r>
        <w:t xml:space="preserve">, using </w:t>
      </w:r>
      <w:r w:rsidRPr="004240BC">
        <w:t>R1-2001484</w:t>
      </w:r>
      <w:r>
        <w:t xml:space="preserve"> as the basis.</w:t>
      </w:r>
    </w:p>
    <w:p w14:paraId="4103B6F3" w14:textId="5C2C2C7A" w:rsidR="004000E8" w:rsidRPr="00CE0424" w:rsidRDefault="00230D18" w:rsidP="00CE0424">
      <w:pPr>
        <w:pStyle w:val="Heading1"/>
      </w:pPr>
      <w:bookmarkStart w:id="0" w:name="_Ref178064866"/>
      <w:r>
        <w:t>2</w:t>
      </w:r>
      <w:r>
        <w:tab/>
      </w:r>
      <w:bookmarkStart w:id="1" w:name="_Hlk37441024"/>
      <w:bookmarkEnd w:id="0"/>
      <w:r w:rsidR="005E3EEF" w:rsidRPr="005F37C3">
        <w:rPr>
          <w:rFonts w:eastAsia="Batang"/>
          <w:sz w:val="32"/>
          <w:szCs w:val="32"/>
          <w:lang w:val="en-US" w:eastAsia="ko-KR"/>
        </w:rPr>
        <w:t>NR_L1enh_URLLC</w:t>
      </w:r>
      <w:bookmarkEnd w:id="1"/>
    </w:p>
    <w:p w14:paraId="468E6E41" w14:textId="42BD54AA" w:rsidR="00F63950" w:rsidRDefault="00230D18" w:rsidP="00F63950">
      <w:pPr>
        <w:pStyle w:val="Heading2"/>
      </w:pPr>
      <w:r>
        <w:t>2.1</w:t>
      </w:r>
      <w:r>
        <w:tab/>
      </w:r>
      <w:r w:rsidR="005E3EEF">
        <w:rPr>
          <w:rFonts w:eastAsia="Batang"/>
          <w:szCs w:val="32"/>
          <w:lang w:val="en-US" w:eastAsia="ko-KR"/>
        </w:rPr>
        <w:t>Feature 11-3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790"/>
        <w:gridCol w:w="6480"/>
      </w:tblGrid>
      <w:tr w:rsidR="000D626D" w:rsidRPr="0036376F" w14:paraId="410175F1" w14:textId="77777777" w:rsidTr="00703358">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BADA175" w14:textId="77777777" w:rsidR="000D626D" w:rsidRPr="0032705D" w:rsidRDefault="000D626D" w:rsidP="00703358">
            <w:pPr>
              <w:pStyle w:val="TAL"/>
              <w:rPr>
                <w:rFonts w:eastAsia="SimSun"/>
                <w:lang w:eastAsia="zh-CN"/>
              </w:rPr>
            </w:pPr>
            <w:r>
              <w:rPr>
                <w:rFonts w:eastAsia="SimSun"/>
                <w:lang w:eastAsia="zh-CN"/>
              </w:rPr>
              <w:t>11</w:t>
            </w:r>
            <w:r w:rsidRPr="0032705D">
              <w:rPr>
                <w:rFonts w:eastAsia="SimSun"/>
                <w:lang w:eastAsia="zh-CN"/>
              </w:rPr>
              <w:t>-3</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F17D66E" w14:textId="77777777" w:rsidR="000D626D" w:rsidRPr="0032705D" w:rsidRDefault="000D626D" w:rsidP="00703358">
            <w:pPr>
              <w:pStyle w:val="TAL"/>
              <w:rPr>
                <w:rFonts w:eastAsia="SimSun"/>
                <w:lang w:eastAsia="zh-CN"/>
              </w:rPr>
            </w:pPr>
            <w:r>
              <w:rPr>
                <w:rFonts w:eastAsia="SimSun" w:hint="eastAsia"/>
                <w:lang w:eastAsia="zh-CN"/>
              </w:rPr>
              <w:t>More than one PUCCH for HARQ-ACK transmission within a slot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2089F408" w14:textId="77777777" w:rsidR="000D626D" w:rsidRPr="0032705D" w:rsidRDefault="000D626D" w:rsidP="00703358">
            <w:pPr>
              <w:pStyle w:val="TAL"/>
              <w:rPr>
                <w:lang w:eastAsia="ja-JP"/>
              </w:rPr>
            </w:pPr>
            <w:r w:rsidRPr="0032705D">
              <w:rPr>
                <w:lang w:eastAsia="ja-JP"/>
              </w:rPr>
              <w:t xml:space="preserve">1) Supports sub-slot based HARQ-ACK feedback procedure. </w:t>
            </w:r>
          </w:p>
          <w:p w14:paraId="6763A7FA" w14:textId="77777777" w:rsidR="000D626D" w:rsidRDefault="000D626D" w:rsidP="00703358">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75301030" w14:textId="77777777" w:rsidR="000D626D" w:rsidRPr="0032705D" w:rsidRDefault="000D626D" w:rsidP="00703358">
            <w:pPr>
              <w:pStyle w:val="TAL"/>
              <w:rPr>
                <w:lang w:eastAsia="ja-JP"/>
              </w:rPr>
            </w:pPr>
            <w:r>
              <w:rPr>
                <w:lang w:eastAsia="ja-JP"/>
              </w:rPr>
              <w:t xml:space="preserve">• </w:t>
            </w:r>
            <w:r w:rsidRPr="0032705D">
              <w:rPr>
                <w:lang w:eastAsia="ja-JP"/>
              </w:rPr>
              <w:t xml:space="preserve">At least one sub-slot configuration for PUCCH can be UE specifically configured to a UE. </w:t>
            </w:r>
          </w:p>
          <w:p w14:paraId="4FE9F0A1" w14:textId="77777777" w:rsidR="000D626D" w:rsidRDefault="000D626D" w:rsidP="00703358">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p w14:paraId="5CC13F9B" w14:textId="77777777" w:rsidR="000D626D" w:rsidRDefault="000D626D" w:rsidP="00703358">
            <w:pPr>
              <w:pStyle w:val="TAL"/>
              <w:rPr>
                <w:lang w:eastAsia="ja-JP"/>
              </w:rPr>
            </w:pPr>
          </w:p>
          <w:p w14:paraId="7CB20575" w14:textId="77777777" w:rsidR="000D626D" w:rsidRDefault="000D626D" w:rsidP="00703358">
            <w:pPr>
              <w:pStyle w:val="TAL"/>
              <w:rPr>
                <w:lang w:eastAsia="ja-JP"/>
              </w:rPr>
            </w:pPr>
            <w:r>
              <w:rPr>
                <w:lang w:eastAsia="ja-JP"/>
              </w:rPr>
              <w:t>2) Supported sub-slot configuration</w:t>
            </w:r>
          </w:p>
          <w:p w14:paraId="548845C6" w14:textId="77777777" w:rsidR="000D626D" w:rsidRDefault="000D626D" w:rsidP="00703358">
            <w:pPr>
              <w:pStyle w:val="TAL"/>
              <w:rPr>
                <w:lang w:eastAsia="ja-JP"/>
              </w:rPr>
            </w:pPr>
          </w:p>
          <w:p w14:paraId="0AE9A8E8" w14:textId="77777777" w:rsidR="000D626D" w:rsidRPr="0053359F" w:rsidRDefault="000D626D" w:rsidP="00703358">
            <w:pPr>
              <w:pStyle w:val="TAL"/>
              <w:rPr>
                <w:lang w:val="en-US" w:eastAsia="ja-JP"/>
              </w:rPr>
            </w:pPr>
            <w:r w:rsidRPr="0053359F">
              <w:rPr>
                <w:lang w:eastAsia="ja-JP"/>
              </w:rPr>
              <w:t xml:space="preserve">[3) Supported combinations of (A, B), where A is the minimum gap between sub-slots containing actual PUCCH transmissions measured from beginning to beginning of the sub-slots, including across slots, and B is the sub-slot duration, with both A and B in units of symbols] </w:t>
            </w:r>
          </w:p>
        </w:tc>
      </w:tr>
    </w:tbl>
    <w:p w14:paraId="526D06E0" w14:textId="77777777" w:rsidR="000D626D" w:rsidRPr="000D626D" w:rsidRDefault="000D626D" w:rsidP="00CE0424">
      <w:pPr>
        <w:pStyle w:val="BodyText"/>
        <w:rPr>
          <w:lang w:val="en-US"/>
        </w:rPr>
      </w:pPr>
    </w:p>
    <w:p w14:paraId="23BC3229" w14:textId="07EDFE20" w:rsidR="00EB5CA8" w:rsidRDefault="00EB5CA8" w:rsidP="00CE0424">
      <w:pPr>
        <w:pStyle w:val="BodyText"/>
      </w:pPr>
      <w:r>
        <w:t xml:space="preserve">Regarding component 3) of feature group 11-3 (shown below), no concept of combinations (A, B) was ever discussed in previous RAN1 meetings. </w:t>
      </w:r>
      <w:r w:rsidR="00352896">
        <w:t>In our view, t</w:t>
      </w:r>
      <w:r>
        <w:t xml:space="preserve">he </w:t>
      </w:r>
      <w:r w:rsidR="00352896">
        <w:t xml:space="preserve">common </w:t>
      </w:r>
      <w:r>
        <w:t xml:space="preserve">understanding is, sub-slot configurations of </w:t>
      </w:r>
      <w:r w:rsidRPr="0032705D">
        <w:t>2-symbol*7</w:t>
      </w:r>
      <w:r>
        <w:t xml:space="preserve"> and </w:t>
      </w:r>
      <w:r w:rsidRPr="0032705D">
        <w:t>7-symbol*2</w:t>
      </w:r>
      <w:r>
        <w:t xml:space="preserve"> are signalled via RRC, and the UE performs sub-slot based HARQ-ACK transmission accordingly. </w:t>
      </w:r>
    </w:p>
    <w:p w14:paraId="116D096C" w14:textId="7CCCA572" w:rsidR="0047546E" w:rsidRDefault="00DB3CA7" w:rsidP="00CE0424">
      <w:pPr>
        <w:pStyle w:val="BodyText"/>
      </w:pPr>
      <w:r>
        <w:t>In particular, o</w:t>
      </w:r>
      <w:r w:rsidR="00B64EFE">
        <w:t>ne (</w:t>
      </w:r>
      <w:proofErr w:type="gramStart"/>
      <w:r w:rsidR="00B64EFE">
        <w:t>A,B</w:t>
      </w:r>
      <w:proofErr w:type="gramEnd"/>
      <w:r w:rsidR="00B64EFE">
        <w:t xml:space="preserve">) combination proposed is </w:t>
      </w:r>
      <w:r w:rsidR="0005011E">
        <w:t xml:space="preserve">(4,2). </w:t>
      </w:r>
      <w:r w:rsidR="00B64EFE">
        <w:t xml:space="preserve">Combination </w:t>
      </w:r>
      <w:r w:rsidR="0005011E">
        <w:t xml:space="preserve">(4,2) requires </w:t>
      </w:r>
      <w:r w:rsidR="00B64EFE">
        <w:t>a</w:t>
      </w:r>
      <w:r w:rsidR="0005011E">
        <w:t xml:space="preserve"> minimum gap </w:t>
      </w:r>
      <w:r w:rsidR="00123F43">
        <w:t xml:space="preserve">of </w:t>
      </w:r>
      <w:r w:rsidR="0005011E">
        <w:t>A</w:t>
      </w:r>
      <w:r w:rsidR="00B64EFE">
        <w:t>=4</w:t>
      </w:r>
      <w:r w:rsidR="0005011E">
        <w:t xml:space="preserve"> </w:t>
      </w:r>
      <w:r w:rsidR="00123F43">
        <w:t xml:space="preserve">symbols </w:t>
      </w:r>
      <w:r w:rsidR="0005011E">
        <w:t xml:space="preserve">between sub-slots within a slot, as well as across slots. </w:t>
      </w:r>
      <w:r w:rsidR="0047546E">
        <w:t xml:space="preserve">It demands that some sub-slots cannot be scheduled with actual HARQ-ACK transmission. That is, at least every other sub-slot </w:t>
      </w:r>
      <w:proofErr w:type="gramStart"/>
      <w:r w:rsidR="0047546E">
        <w:t>ha</w:t>
      </w:r>
      <w:r w:rsidR="009865DA">
        <w:t>s</w:t>
      </w:r>
      <w:r w:rsidR="0047546E">
        <w:t xml:space="preserve"> to</w:t>
      </w:r>
      <w:proofErr w:type="gramEnd"/>
      <w:r w:rsidR="0047546E">
        <w:t xml:space="preserve"> be blocked from actual HARQ-ACK transmission</w:t>
      </w:r>
      <w:r w:rsidR="009865DA">
        <w:t>, which</w:t>
      </w:r>
      <w:r w:rsidR="00003CEB">
        <w:t xml:space="preserve"> leads to longer latency</w:t>
      </w:r>
      <w:r w:rsidR="0047546E">
        <w:t xml:space="preserve">. </w:t>
      </w:r>
      <w:r w:rsidR="00D6198B">
        <w:t xml:space="preserve">This </w:t>
      </w:r>
      <w:proofErr w:type="gramStart"/>
      <w:r w:rsidR="00D6198B">
        <w:t>is in contrast to</w:t>
      </w:r>
      <w:proofErr w:type="gramEnd"/>
      <w:r w:rsidR="00D6198B">
        <w:t xml:space="preserve"> combinations (2,2) and (7,7), which, as illustrated in </w:t>
      </w:r>
      <w:fldSimple w:instr=" REF _Ref37464648 ">
        <w:r w:rsidR="00E06C89" w:rsidRPr="00CE0424">
          <w:t xml:space="preserve">Figure </w:t>
        </w:r>
        <w:r w:rsidR="00E06C89">
          <w:rPr>
            <w:noProof/>
          </w:rPr>
          <w:t>3</w:t>
        </w:r>
      </w:fldSimple>
      <w:r w:rsidR="00D6198B">
        <w:t>, do not have any sub-slots blocked from actual HARQ-ACK transmission.</w:t>
      </w:r>
    </w:p>
    <w:p w14:paraId="724D20F2" w14:textId="53F76234" w:rsidR="0005011E" w:rsidRDefault="0047546E" w:rsidP="00CE0424">
      <w:pPr>
        <w:pStyle w:val="BodyText"/>
      </w:pPr>
      <w:r>
        <w:t>I</w:t>
      </w:r>
      <w:r w:rsidR="00DB3CA7">
        <w:t xml:space="preserve">f sub-slot pattern for actual PUCCH transmission is assumed </w:t>
      </w:r>
      <w:r w:rsidR="009865DA">
        <w:t xml:space="preserve">to be the same </w:t>
      </w:r>
      <w:r w:rsidR="00DB3CA7">
        <w:t>for all slots,</w:t>
      </w:r>
      <w:r>
        <w:t xml:space="preserve"> further constraints apply.</w:t>
      </w:r>
      <w:r w:rsidR="00D6198B">
        <w:t xml:space="preserve"> In this case,</w:t>
      </w:r>
      <w:r w:rsidR="0005011E">
        <w:t xml:space="preserve"> (4,2) necessarily lead to</w:t>
      </w:r>
      <w:r w:rsidR="00B64EFE">
        <w:t xml:space="preserve"> </w:t>
      </w:r>
      <w:r w:rsidR="00A00FC9">
        <w:t>the existence of</w:t>
      </w:r>
      <w:r w:rsidR="00B64EFE">
        <w:t xml:space="preserve"> 4 or more consecutive symbols between adjacent sub-slots</w:t>
      </w:r>
      <w:r w:rsidR="00DB3CA7">
        <w:t xml:space="preserve"> (including across slots)</w:t>
      </w:r>
      <w:r w:rsidR="00A00FC9">
        <w:t xml:space="preserve"> that cannot be scheduled with HARQ-ACK tra</w:t>
      </w:r>
      <w:bookmarkStart w:id="2" w:name="_GoBack"/>
      <w:bookmarkEnd w:id="2"/>
      <w:r w:rsidR="00A00FC9">
        <w:t>nsmission.</w:t>
      </w:r>
      <w:r>
        <w:t xml:space="preserve"> Examples (1)-(4) </w:t>
      </w:r>
      <w:r>
        <w:lastRenderedPageBreak/>
        <w:t xml:space="preserve">illustrates </w:t>
      </w:r>
      <w:r w:rsidR="00D6198B">
        <w:t>the</w:t>
      </w:r>
      <w:r>
        <w:t xml:space="preserve"> allowed sub-slot scheduling of (4,2) within a slot in </w:t>
      </w:r>
      <w:fldSimple w:instr=" REF _Ref37417925 ">
        <w:r w:rsidR="005F544E" w:rsidRPr="00CE0424">
          <w:t xml:space="preserve">Figure </w:t>
        </w:r>
        <w:r w:rsidR="005F544E">
          <w:rPr>
            <w:noProof/>
          </w:rPr>
          <w:t>2</w:t>
        </w:r>
      </w:fldSimple>
      <w:r>
        <w:t xml:space="preserve">. As can be observed, </w:t>
      </w:r>
      <w:r w:rsidR="00A00FC9">
        <w:t>there exists a group of 4 consecutive symbols that are not usable for HARQ-ACK transmission for the dense</w:t>
      </w:r>
      <w:r w:rsidR="00D6198B">
        <w:t>st</w:t>
      </w:r>
      <w:r w:rsidR="00A00FC9">
        <w:t xml:space="preserve"> sub-slot layout of (1) and (2)</w:t>
      </w:r>
      <w:r w:rsidR="00B64EFE">
        <w:t xml:space="preserve">. </w:t>
      </w:r>
      <w:proofErr w:type="gramStart"/>
      <w:r w:rsidR="00B64EFE">
        <w:t>Thus</w:t>
      </w:r>
      <w:proofErr w:type="gramEnd"/>
      <w:r w:rsidR="00B64EFE">
        <w:t xml:space="preserve"> there are at least two issues concerning combination (4,2)</w:t>
      </w:r>
      <w:r>
        <w:t xml:space="preserve"> when using the same sub-slot pattern for actual PUCCH transmission in all slots</w:t>
      </w:r>
      <w:r w:rsidR="00B64EFE">
        <w:t>:</w:t>
      </w:r>
    </w:p>
    <w:p w14:paraId="2EC708E6" w14:textId="52D7868E" w:rsidR="00EB5CA8" w:rsidRDefault="00B64EFE" w:rsidP="0005011E">
      <w:pPr>
        <w:pStyle w:val="BodyText"/>
        <w:numPr>
          <w:ilvl w:val="0"/>
          <w:numId w:val="23"/>
        </w:numPr>
      </w:pPr>
      <w:r>
        <w:t>(4,2) requires uneven sub-slot layout among slots</w:t>
      </w:r>
      <w:r w:rsidR="00DB3CA7">
        <w:t xml:space="preserve"> for HARQ-ACK transmission</w:t>
      </w:r>
      <w:r>
        <w:t>;</w:t>
      </w:r>
    </w:p>
    <w:p w14:paraId="5AE93992" w14:textId="6060ACEC" w:rsidR="00B64EFE" w:rsidRDefault="00B64EFE" w:rsidP="00B64EFE">
      <w:pPr>
        <w:pStyle w:val="BodyText"/>
        <w:numPr>
          <w:ilvl w:val="0"/>
          <w:numId w:val="23"/>
        </w:numPr>
      </w:pPr>
      <w:r>
        <w:t xml:space="preserve">(4,2) leads </w:t>
      </w:r>
      <w:r w:rsidR="00DB3CA7">
        <w:t xml:space="preserve">to </w:t>
      </w:r>
      <w:r>
        <w:t xml:space="preserve">unnecessary gaps of &gt;=4 symbols where no HARQ-ACK can be scheduled for transmission. </w:t>
      </w:r>
    </w:p>
    <w:p w14:paraId="0318CC69" w14:textId="753A80B9" w:rsidR="00B64EFE" w:rsidRDefault="00B64EFE" w:rsidP="00B64EFE">
      <w:pPr>
        <w:pStyle w:val="BodyText"/>
      </w:pPr>
      <w:r>
        <w:t xml:space="preserve">Both (a) and (b) increases scheduling </w:t>
      </w:r>
      <w:proofErr w:type="gramStart"/>
      <w:r>
        <w:t>complexity, and</w:t>
      </w:r>
      <w:proofErr w:type="gramEnd"/>
      <w:r>
        <w:t xml:space="preserve"> leads to </w:t>
      </w:r>
      <w:r w:rsidR="00123F43">
        <w:t>longer latency than expected.</w:t>
      </w:r>
    </w:p>
    <w:p w14:paraId="178C14A8" w14:textId="246E8E51" w:rsidR="0005011E" w:rsidRDefault="0005011E" w:rsidP="00CE0424">
      <w:pPr>
        <w:pStyle w:val="BodyText"/>
      </w:pPr>
    </w:p>
    <w:tbl>
      <w:tblPr>
        <w:tblW w:w="8580" w:type="dxa"/>
        <w:jc w:val="center"/>
        <w:tblLook w:val="04A0" w:firstRow="1" w:lastRow="0" w:firstColumn="1" w:lastColumn="0" w:noHBand="0" w:noVBand="1"/>
      </w:tblPr>
      <w:tblGrid>
        <w:gridCol w:w="720"/>
        <w:gridCol w:w="480"/>
        <w:gridCol w:w="480"/>
        <w:gridCol w:w="480"/>
        <w:gridCol w:w="480"/>
        <w:gridCol w:w="480"/>
        <w:gridCol w:w="480"/>
        <w:gridCol w:w="480"/>
        <w:gridCol w:w="480"/>
        <w:gridCol w:w="480"/>
        <w:gridCol w:w="480"/>
        <w:gridCol w:w="480"/>
        <w:gridCol w:w="480"/>
        <w:gridCol w:w="480"/>
        <w:gridCol w:w="480"/>
        <w:gridCol w:w="1140"/>
      </w:tblGrid>
      <w:tr w:rsidR="0005011E" w:rsidRPr="0005011E" w14:paraId="31307905" w14:textId="77777777" w:rsidTr="0005011E">
        <w:trPr>
          <w:trHeight w:val="290"/>
          <w:jc w:val="center"/>
        </w:trPr>
        <w:tc>
          <w:tcPr>
            <w:tcW w:w="720" w:type="dxa"/>
            <w:tcBorders>
              <w:top w:val="nil"/>
              <w:left w:val="nil"/>
              <w:bottom w:val="nil"/>
              <w:right w:val="nil"/>
            </w:tcBorders>
            <w:shd w:val="clear" w:color="auto" w:fill="auto"/>
            <w:noWrap/>
            <w:vAlign w:val="bottom"/>
            <w:hideMark/>
          </w:tcPr>
          <w:p w14:paraId="562717E4" w14:textId="77777777" w:rsidR="0005011E" w:rsidRPr="0005011E" w:rsidRDefault="0005011E" w:rsidP="0005011E">
            <w:pPr>
              <w:overflowPunct/>
              <w:autoSpaceDE/>
              <w:autoSpaceDN/>
              <w:adjustRightInd/>
              <w:spacing w:after="0"/>
              <w:textAlignment w:val="auto"/>
              <w:rPr>
                <w:sz w:val="24"/>
                <w:szCs w:val="24"/>
                <w:lang w:val="en-US" w:eastAsia="zh-CN"/>
              </w:rPr>
            </w:pPr>
          </w:p>
        </w:tc>
        <w:tc>
          <w:tcPr>
            <w:tcW w:w="480" w:type="dxa"/>
            <w:tcBorders>
              <w:top w:val="nil"/>
              <w:left w:val="nil"/>
              <w:bottom w:val="nil"/>
              <w:right w:val="nil"/>
            </w:tcBorders>
            <w:shd w:val="clear" w:color="auto" w:fill="auto"/>
            <w:noWrap/>
            <w:vAlign w:val="bottom"/>
            <w:hideMark/>
          </w:tcPr>
          <w:p w14:paraId="34CC7A7E"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0</w:t>
            </w:r>
          </w:p>
        </w:tc>
        <w:tc>
          <w:tcPr>
            <w:tcW w:w="480" w:type="dxa"/>
            <w:tcBorders>
              <w:top w:val="nil"/>
              <w:left w:val="nil"/>
              <w:bottom w:val="nil"/>
              <w:right w:val="nil"/>
            </w:tcBorders>
            <w:shd w:val="clear" w:color="auto" w:fill="auto"/>
            <w:noWrap/>
            <w:vAlign w:val="bottom"/>
            <w:hideMark/>
          </w:tcPr>
          <w:p w14:paraId="2384067F"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w:t>
            </w:r>
          </w:p>
        </w:tc>
        <w:tc>
          <w:tcPr>
            <w:tcW w:w="480" w:type="dxa"/>
            <w:tcBorders>
              <w:top w:val="nil"/>
              <w:left w:val="nil"/>
              <w:bottom w:val="nil"/>
              <w:right w:val="nil"/>
            </w:tcBorders>
            <w:shd w:val="clear" w:color="auto" w:fill="auto"/>
            <w:noWrap/>
            <w:vAlign w:val="bottom"/>
            <w:hideMark/>
          </w:tcPr>
          <w:p w14:paraId="1AF9FDFF"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2</w:t>
            </w:r>
          </w:p>
        </w:tc>
        <w:tc>
          <w:tcPr>
            <w:tcW w:w="480" w:type="dxa"/>
            <w:tcBorders>
              <w:top w:val="nil"/>
              <w:left w:val="nil"/>
              <w:bottom w:val="nil"/>
              <w:right w:val="nil"/>
            </w:tcBorders>
            <w:shd w:val="clear" w:color="auto" w:fill="auto"/>
            <w:noWrap/>
            <w:vAlign w:val="bottom"/>
            <w:hideMark/>
          </w:tcPr>
          <w:p w14:paraId="0391DA89"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3</w:t>
            </w:r>
          </w:p>
        </w:tc>
        <w:tc>
          <w:tcPr>
            <w:tcW w:w="480" w:type="dxa"/>
            <w:tcBorders>
              <w:top w:val="nil"/>
              <w:left w:val="nil"/>
              <w:bottom w:val="nil"/>
              <w:right w:val="nil"/>
            </w:tcBorders>
            <w:shd w:val="clear" w:color="auto" w:fill="auto"/>
            <w:noWrap/>
            <w:vAlign w:val="bottom"/>
            <w:hideMark/>
          </w:tcPr>
          <w:p w14:paraId="0D796468"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4</w:t>
            </w:r>
          </w:p>
        </w:tc>
        <w:tc>
          <w:tcPr>
            <w:tcW w:w="480" w:type="dxa"/>
            <w:tcBorders>
              <w:top w:val="nil"/>
              <w:left w:val="nil"/>
              <w:bottom w:val="nil"/>
              <w:right w:val="nil"/>
            </w:tcBorders>
            <w:shd w:val="clear" w:color="auto" w:fill="auto"/>
            <w:noWrap/>
            <w:vAlign w:val="bottom"/>
            <w:hideMark/>
          </w:tcPr>
          <w:p w14:paraId="050DAAD3"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5</w:t>
            </w:r>
          </w:p>
        </w:tc>
        <w:tc>
          <w:tcPr>
            <w:tcW w:w="480" w:type="dxa"/>
            <w:tcBorders>
              <w:top w:val="nil"/>
              <w:left w:val="nil"/>
              <w:bottom w:val="nil"/>
              <w:right w:val="nil"/>
            </w:tcBorders>
            <w:shd w:val="clear" w:color="auto" w:fill="auto"/>
            <w:noWrap/>
            <w:vAlign w:val="bottom"/>
            <w:hideMark/>
          </w:tcPr>
          <w:p w14:paraId="785F073D"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6</w:t>
            </w:r>
          </w:p>
        </w:tc>
        <w:tc>
          <w:tcPr>
            <w:tcW w:w="480" w:type="dxa"/>
            <w:tcBorders>
              <w:top w:val="nil"/>
              <w:left w:val="nil"/>
              <w:bottom w:val="nil"/>
              <w:right w:val="nil"/>
            </w:tcBorders>
            <w:shd w:val="clear" w:color="auto" w:fill="auto"/>
            <w:noWrap/>
            <w:vAlign w:val="bottom"/>
            <w:hideMark/>
          </w:tcPr>
          <w:p w14:paraId="70A59DE7"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7</w:t>
            </w:r>
          </w:p>
        </w:tc>
        <w:tc>
          <w:tcPr>
            <w:tcW w:w="480" w:type="dxa"/>
            <w:tcBorders>
              <w:top w:val="nil"/>
              <w:left w:val="nil"/>
              <w:bottom w:val="nil"/>
              <w:right w:val="nil"/>
            </w:tcBorders>
            <w:shd w:val="clear" w:color="auto" w:fill="auto"/>
            <w:noWrap/>
            <w:vAlign w:val="bottom"/>
            <w:hideMark/>
          </w:tcPr>
          <w:p w14:paraId="1CA792BE"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8</w:t>
            </w:r>
          </w:p>
        </w:tc>
        <w:tc>
          <w:tcPr>
            <w:tcW w:w="480" w:type="dxa"/>
            <w:tcBorders>
              <w:top w:val="nil"/>
              <w:left w:val="nil"/>
              <w:bottom w:val="nil"/>
              <w:right w:val="nil"/>
            </w:tcBorders>
            <w:shd w:val="clear" w:color="auto" w:fill="auto"/>
            <w:noWrap/>
            <w:vAlign w:val="bottom"/>
            <w:hideMark/>
          </w:tcPr>
          <w:p w14:paraId="63B5452F"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9</w:t>
            </w:r>
          </w:p>
        </w:tc>
        <w:tc>
          <w:tcPr>
            <w:tcW w:w="480" w:type="dxa"/>
            <w:tcBorders>
              <w:top w:val="nil"/>
              <w:left w:val="nil"/>
              <w:bottom w:val="nil"/>
              <w:right w:val="nil"/>
            </w:tcBorders>
            <w:shd w:val="clear" w:color="auto" w:fill="auto"/>
            <w:noWrap/>
            <w:vAlign w:val="bottom"/>
            <w:hideMark/>
          </w:tcPr>
          <w:p w14:paraId="3C2C04D3"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10</w:t>
            </w:r>
          </w:p>
        </w:tc>
        <w:tc>
          <w:tcPr>
            <w:tcW w:w="480" w:type="dxa"/>
            <w:tcBorders>
              <w:top w:val="nil"/>
              <w:left w:val="nil"/>
              <w:bottom w:val="nil"/>
              <w:right w:val="nil"/>
            </w:tcBorders>
            <w:shd w:val="clear" w:color="auto" w:fill="auto"/>
            <w:noWrap/>
            <w:vAlign w:val="bottom"/>
            <w:hideMark/>
          </w:tcPr>
          <w:p w14:paraId="7FC1E9F1"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11</w:t>
            </w:r>
          </w:p>
        </w:tc>
        <w:tc>
          <w:tcPr>
            <w:tcW w:w="480" w:type="dxa"/>
            <w:tcBorders>
              <w:top w:val="nil"/>
              <w:left w:val="nil"/>
              <w:bottom w:val="nil"/>
              <w:right w:val="nil"/>
            </w:tcBorders>
            <w:shd w:val="clear" w:color="auto" w:fill="auto"/>
            <w:noWrap/>
            <w:vAlign w:val="bottom"/>
            <w:hideMark/>
          </w:tcPr>
          <w:p w14:paraId="4D38B3D8"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12</w:t>
            </w:r>
          </w:p>
        </w:tc>
        <w:tc>
          <w:tcPr>
            <w:tcW w:w="480" w:type="dxa"/>
            <w:tcBorders>
              <w:top w:val="nil"/>
              <w:left w:val="nil"/>
              <w:bottom w:val="nil"/>
              <w:right w:val="nil"/>
            </w:tcBorders>
            <w:shd w:val="clear" w:color="auto" w:fill="auto"/>
            <w:noWrap/>
            <w:vAlign w:val="bottom"/>
            <w:hideMark/>
          </w:tcPr>
          <w:p w14:paraId="13583186" w14:textId="77777777" w:rsidR="0005011E" w:rsidRPr="0005011E" w:rsidRDefault="0005011E" w:rsidP="0005011E">
            <w:pPr>
              <w:overflowPunct/>
              <w:autoSpaceDE/>
              <w:autoSpaceDN/>
              <w:adjustRightInd/>
              <w:spacing w:after="0"/>
              <w:jc w:val="right"/>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13</w:t>
            </w:r>
          </w:p>
        </w:tc>
        <w:tc>
          <w:tcPr>
            <w:tcW w:w="1140" w:type="dxa"/>
            <w:tcBorders>
              <w:top w:val="nil"/>
              <w:left w:val="nil"/>
              <w:bottom w:val="nil"/>
              <w:right w:val="nil"/>
            </w:tcBorders>
            <w:shd w:val="clear" w:color="auto" w:fill="auto"/>
            <w:noWrap/>
            <w:vAlign w:val="bottom"/>
            <w:hideMark/>
          </w:tcPr>
          <w:p w14:paraId="3970A32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(symbol)</w:t>
            </w:r>
          </w:p>
        </w:tc>
      </w:tr>
      <w:tr w:rsidR="0005011E" w:rsidRPr="0005011E" w14:paraId="3E24B579" w14:textId="77777777" w:rsidTr="0005011E">
        <w:trPr>
          <w:trHeight w:val="290"/>
          <w:jc w:val="center"/>
        </w:trPr>
        <w:tc>
          <w:tcPr>
            <w:tcW w:w="720" w:type="dxa"/>
            <w:tcBorders>
              <w:top w:val="nil"/>
              <w:left w:val="nil"/>
              <w:bottom w:val="nil"/>
              <w:right w:val="nil"/>
            </w:tcBorders>
            <w:shd w:val="clear" w:color="auto" w:fill="auto"/>
            <w:noWrap/>
            <w:vAlign w:val="bottom"/>
            <w:hideMark/>
          </w:tcPr>
          <w:p w14:paraId="2B9F8AD6"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(1)</w:t>
            </w:r>
          </w:p>
        </w:tc>
        <w:tc>
          <w:tcPr>
            <w:tcW w:w="48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29DFB4D"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000000" w:fill="92D050"/>
            <w:noWrap/>
            <w:vAlign w:val="bottom"/>
            <w:hideMark/>
          </w:tcPr>
          <w:p w14:paraId="21BE7E5C"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4024A8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06F2760A"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000000" w:fill="92D050"/>
            <w:noWrap/>
            <w:vAlign w:val="bottom"/>
            <w:hideMark/>
          </w:tcPr>
          <w:p w14:paraId="1EA7124F"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000000" w:fill="92D050"/>
            <w:noWrap/>
            <w:vAlign w:val="bottom"/>
            <w:hideMark/>
          </w:tcPr>
          <w:p w14:paraId="0A762EC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2ED461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13A7746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000000" w:fill="92D050"/>
            <w:noWrap/>
            <w:vAlign w:val="bottom"/>
            <w:hideMark/>
          </w:tcPr>
          <w:p w14:paraId="1A29007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000000" w:fill="92D050"/>
            <w:noWrap/>
            <w:vAlign w:val="bottom"/>
            <w:hideMark/>
          </w:tcPr>
          <w:p w14:paraId="32038A6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4CE27673"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26E70779"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081683CD"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62CB16F4"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243C736C"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p>
        </w:tc>
      </w:tr>
      <w:tr w:rsidR="0005011E" w:rsidRPr="0005011E" w14:paraId="015B3B3F" w14:textId="77777777" w:rsidTr="0005011E">
        <w:trPr>
          <w:trHeight w:val="290"/>
          <w:jc w:val="center"/>
        </w:trPr>
        <w:tc>
          <w:tcPr>
            <w:tcW w:w="720" w:type="dxa"/>
            <w:tcBorders>
              <w:top w:val="nil"/>
              <w:left w:val="nil"/>
              <w:bottom w:val="nil"/>
              <w:right w:val="nil"/>
            </w:tcBorders>
            <w:shd w:val="clear" w:color="auto" w:fill="auto"/>
            <w:noWrap/>
            <w:vAlign w:val="bottom"/>
            <w:hideMark/>
          </w:tcPr>
          <w:p w14:paraId="2152C87D"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(2)</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7FE21B9A"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049EBF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4EEF2B4A"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485CA2A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4D9BD29"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503AA07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742AD583"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2A4DEC1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0A66FE9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C424864"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05DFF421"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7BA55A9F"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11926E4A"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399DCF5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7628413A"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p>
        </w:tc>
      </w:tr>
      <w:tr w:rsidR="0005011E" w:rsidRPr="0005011E" w14:paraId="4613FE6D" w14:textId="77777777" w:rsidTr="0005011E">
        <w:trPr>
          <w:trHeight w:val="290"/>
          <w:jc w:val="center"/>
        </w:trPr>
        <w:tc>
          <w:tcPr>
            <w:tcW w:w="720" w:type="dxa"/>
            <w:tcBorders>
              <w:top w:val="nil"/>
              <w:left w:val="nil"/>
              <w:bottom w:val="nil"/>
              <w:right w:val="nil"/>
            </w:tcBorders>
            <w:shd w:val="clear" w:color="auto" w:fill="auto"/>
            <w:noWrap/>
            <w:vAlign w:val="bottom"/>
            <w:hideMark/>
          </w:tcPr>
          <w:p w14:paraId="23FC860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(3)</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14:paraId="29AE7F7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65D54DC"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658D3C7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7655C72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53C63FE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778EF3E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42300DC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488E81DC"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1E18AF96"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3414DF1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1FBF47C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08316FA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6B94B1F4"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427BD381"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236DCB11"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p>
        </w:tc>
      </w:tr>
      <w:tr w:rsidR="0005011E" w:rsidRPr="0005011E" w14:paraId="7F90C30B" w14:textId="77777777" w:rsidTr="0005011E">
        <w:trPr>
          <w:trHeight w:val="290"/>
          <w:jc w:val="center"/>
        </w:trPr>
        <w:tc>
          <w:tcPr>
            <w:tcW w:w="720" w:type="dxa"/>
            <w:tcBorders>
              <w:top w:val="nil"/>
              <w:left w:val="nil"/>
              <w:bottom w:val="nil"/>
              <w:right w:val="nil"/>
            </w:tcBorders>
            <w:shd w:val="clear" w:color="auto" w:fill="auto"/>
            <w:noWrap/>
            <w:vAlign w:val="bottom"/>
            <w:hideMark/>
          </w:tcPr>
          <w:p w14:paraId="08147EB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(4)</w:t>
            </w:r>
          </w:p>
        </w:tc>
        <w:tc>
          <w:tcPr>
            <w:tcW w:w="480" w:type="dxa"/>
            <w:tcBorders>
              <w:top w:val="nil"/>
              <w:left w:val="single" w:sz="4" w:space="0" w:color="auto"/>
              <w:bottom w:val="single" w:sz="4" w:space="0" w:color="auto"/>
              <w:right w:val="single" w:sz="4" w:space="0" w:color="auto"/>
            </w:tcBorders>
            <w:shd w:val="clear" w:color="000000" w:fill="92D050"/>
            <w:noWrap/>
            <w:vAlign w:val="bottom"/>
            <w:hideMark/>
          </w:tcPr>
          <w:p w14:paraId="154E8B53"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0143BC42"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1E99DFEF"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103090E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3233619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7833CF7B"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76ABA046"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000000" w:fill="92D050"/>
            <w:noWrap/>
            <w:vAlign w:val="bottom"/>
            <w:hideMark/>
          </w:tcPr>
          <w:p w14:paraId="313085F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D8FCA77"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0057157F"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27E0499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6273A58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09A32B4E"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480" w:type="dxa"/>
            <w:tcBorders>
              <w:top w:val="nil"/>
              <w:left w:val="nil"/>
              <w:bottom w:val="single" w:sz="4" w:space="0" w:color="auto"/>
              <w:right w:val="single" w:sz="4" w:space="0" w:color="auto"/>
            </w:tcBorders>
            <w:shd w:val="clear" w:color="auto" w:fill="auto"/>
            <w:noWrap/>
            <w:vAlign w:val="bottom"/>
            <w:hideMark/>
          </w:tcPr>
          <w:p w14:paraId="53C10655"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r w:rsidRPr="0005011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2F1CD128" w14:textId="77777777" w:rsidR="0005011E" w:rsidRPr="0005011E" w:rsidRDefault="0005011E" w:rsidP="0005011E">
            <w:pPr>
              <w:overflowPunct/>
              <w:autoSpaceDE/>
              <w:autoSpaceDN/>
              <w:adjustRightInd/>
              <w:spacing w:after="0"/>
              <w:textAlignment w:val="auto"/>
              <w:rPr>
                <w:rFonts w:ascii="Calibri" w:hAnsi="Calibri" w:cs="Calibri"/>
                <w:color w:val="000000"/>
                <w:sz w:val="22"/>
                <w:szCs w:val="22"/>
                <w:lang w:val="en-US" w:eastAsia="zh-CN"/>
              </w:rPr>
            </w:pPr>
          </w:p>
        </w:tc>
      </w:tr>
    </w:tbl>
    <w:p w14:paraId="11655928" w14:textId="5C8C1D6F" w:rsidR="0047546E" w:rsidRPr="00123F43" w:rsidRDefault="0047546E" w:rsidP="0047546E">
      <w:pPr>
        <w:pStyle w:val="TF"/>
        <w:spacing w:before="240"/>
        <w:rPr>
          <w:lang w:val="en-US"/>
        </w:rPr>
      </w:pPr>
      <w:r w:rsidRPr="00CE0424">
        <w:t xml:space="preserve">Figure </w:t>
      </w:r>
      <w:r w:rsidRPr="00CE0424">
        <w:fldChar w:fldCharType="begin"/>
      </w:r>
      <w:r w:rsidRPr="00CE0424">
        <w:instrText xml:space="preserve"> SEQ Figure \* ARABIC </w:instrText>
      </w:r>
      <w:r w:rsidRPr="00CE0424">
        <w:fldChar w:fldCharType="separate"/>
      </w:r>
      <w:r w:rsidR="005F544E">
        <w:rPr>
          <w:noProof/>
        </w:rPr>
        <w:t>1</w:t>
      </w:r>
      <w:r w:rsidRPr="00CE0424">
        <w:fldChar w:fldCharType="end"/>
      </w:r>
      <w:r w:rsidRPr="00CE0424">
        <w:t xml:space="preserve">: </w:t>
      </w:r>
      <w:r>
        <w:t xml:space="preserve">Examples (1)-(4) </w:t>
      </w:r>
      <w:r>
        <w:rPr>
          <w:lang w:val="en-US"/>
        </w:rPr>
        <w:t>of</w:t>
      </w:r>
      <w:r>
        <w:t xml:space="preserve"> allowed sub-slot scheduling of </w:t>
      </w:r>
      <w:r>
        <w:rPr>
          <w:lang w:val="en-US"/>
        </w:rPr>
        <w:t xml:space="preserve">combination </w:t>
      </w:r>
      <w:r>
        <w:t>(4,2)</w:t>
      </w:r>
      <w:r w:rsidR="00D6198B">
        <w:rPr>
          <w:lang w:val="en-US"/>
        </w:rPr>
        <w:t xml:space="preserve"> if same pattern is applied to all slots</w:t>
      </w:r>
      <w:r>
        <w:rPr>
          <w:lang w:val="en-US"/>
        </w:rPr>
        <w:t>.</w:t>
      </w:r>
    </w:p>
    <w:p w14:paraId="6C32B1C4" w14:textId="40567E36" w:rsidR="0005011E" w:rsidRPr="0047546E" w:rsidRDefault="0005011E" w:rsidP="00CE0424">
      <w:pPr>
        <w:pStyle w:val="BodyText"/>
        <w:rPr>
          <w:lang w:val="en-US"/>
        </w:rPr>
      </w:pPr>
    </w:p>
    <w:p w14:paraId="20367E9A" w14:textId="029C36B8" w:rsidR="0047546E" w:rsidRDefault="0047546E" w:rsidP="0047546E">
      <w:pPr>
        <w:pStyle w:val="BodyText"/>
      </w:pPr>
      <w:r>
        <w:t xml:space="preserve">One alternative is to use different sub-slot pattern in different slots, as illustrated in </w:t>
      </w:r>
      <w:fldSimple w:instr=" REF _Ref37417925 ">
        <w:r w:rsidR="005F544E" w:rsidRPr="00CE0424">
          <w:t xml:space="preserve">Figure </w:t>
        </w:r>
        <w:r w:rsidR="005F544E">
          <w:rPr>
            <w:noProof/>
          </w:rPr>
          <w:t>2</w:t>
        </w:r>
      </w:fldSimple>
      <w:r>
        <w:t xml:space="preserve">. </w:t>
      </w:r>
      <w:r w:rsidR="00D6198B">
        <w:t xml:space="preserve">This avoids issues (a) and (b) above, but it requires that HARQ-ACK PUCCH </w:t>
      </w:r>
      <w:proofErr w:type="gramStart"/>
      <w:r w:rsidR="00D6198B">
        <w:t>has to</w:t>
      </w:r>
      <w:proofErr w:type="gramEnd"/>
      <w:r w:rsidR="00D6198B">
        <w:t xml:space="preserve"> be scheduled differently between adjacent slot</w:t>
      </w:r>
      <w:r w:rsidR="00BD4165">
        <w:t>s</w:t>
      </w:r>
      <w:r w:rsidR="00D6198B">
        <w:t>.</w:t>
      </w:r>
      <w:r w:rsidR="006B5C56">
        <w:t xml:space="preserve"> </w:t>
      </w:r>
      <w:proofErr w:type="gramStart"/>
      <w:r w:rsidR="006B5C56">
        <w:t>Also</w:t>
      </w:r>
      <w:proofErr w:type="gramEnd"/>
      <w:r w:rsidR="006B5C56">
        <w:t xml:space="preserve"> it’s not avoidable that at least every other sub-slot has to be blocked from actual HARQ-ACK transmission.</w:t>
      </w:r>
    </w:p>
    <w:p w14:paraId="5134ADB7" w14:textId="65A3AA1E" w:rsidR="0047546E" w:rsidRDefault="0047546E" w:rsidP="0047546E">
      <w:pPr>
        <w:pStyle w:val="BodyText"/>
      </w:pPr>
      <w:r w:rsidRPr="0047546E">
        <w:rPr>
          <w:noProof/>
        </w:rPr>
        <w:drawing>
          <wp:inline distT="0" distB="0" distL="0" distR="0" wp14:anchorId="52C22860" wp14:editId="7D93BECB">
            <wp:extent cx="6120765" cy="268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68605"/>
                    </a:xfrm>
                    <a:prstGeom prst="rect">
                      <a:avLst/>
                    </a:prstGeom>
                    <a:noFill/>
                    <a:ln>
                      <a:noFill/>
                    </a:ln>
                  </pic:spPr>
                </pic:pic>
              </a:graphicData>
            </a:graphic>
          </wp:inline>
        </w:drawing>
      </w:r>
    </w:p>
    <w:p w14:paraId="75CDA5FE" w14:textId="5A232052" w:rsidR="0005011E" w:rsidRDefault="0005011E" w:rsidP="0047546E">
      <w:pPr>
        <w:pStyle w:val="TF"/>
        <w:spacing w:before="240"/>
        <w:rPr>
          <w:lang w:val="en-US"/>
        </w:rPr>
      </w:pPr>
      <w:bookmarkStart w:id="3" w:name="_Ref37417925"/>
      <w:r w:rsidRPr="00CE0424">
        <w:t xml:space="preserve">Figure </w:t>
      </w:r>
      <w:r w:rsidRPr="00CE0424">
        <w:fldChar w:fldCharType="begin"/>
      </w:r>
      <w:r w:rsidRPr="00CE0424">
        <w:instrText xml:space="preserve"> SEQ Figure \* ARABIC </w:instrText>
      </w:r>
      <w:r w:rsidRPr="00CE0424">
        <w:fldChar w:fldCharType="separate"/>
      </w:r>
      <w:r w:rsidR="005F544E">
        <w:rPr>
          <w:noProof/>
        </w:rPr>
        <w:t>2</w:t>
      </w:r>
      <w:r w:rsidRPr="00CE0424">
        <w:fldChar w:fldCharType="end"/>
      </w:r>
      <w:bookmarkEnd w:id="3"/>
      <w:r w:rsidRPr="00CE0424">
        <w:t xml:space="preserve">: </w:t>
      </w:r>
      <w:r w:rsidR="00D6198B">
        <w:rPr>
          <w:lang w:val="en-US"/>
        </w:rPr>
        <w:t>Densest</w:t>
      </w:r>
      <w:r w:rsidR="00D6198B">
        <w:t xml:space="preserve"> sub-slot scheduling of </w:t>
      </w:r>
      <w:r w:rsidR="00D6198B">
        <w:rPr>
          <w:lang w:val="en-US"/>
        </w:rPr>
        <w:t xml:space="preserve">combination </w:t>
      </w:r>
      <w:r w:rsidR="00D6198B">
        <w:t>(4,2)</w:t>
      </w:r>
      <w:r w:rsidR="00D6198B">
        <w:rPr>
          <w:lang w:val="en-US"/>
        </w:rPr>
        <w:t xml:space="preserve"> if different pattern is allowed between slots</w:t>
      </w:r>
      <w:r w:rsidR="00123F43">
        <w:rPr>
          <w:lang w:val="en-US"/>
        </w:rPr>
        <w:t>.</w:t>
      </w:r>
    </w:p>
    <w:p w14:paraId="3F08CBB0" w14:textId="50DC1B67" w:rsidR="00D6198B" w:rsidRPr="00D6198B" w:rsidRDefault="00D6198B" w:rsidP="00D6198B">
      <w:pPr>
        <w:pStyle w:val="BodyText"/>
      </w:pPr>
      <w:r w:rsidRPr="00D6198B">
        <w:t xml:space="preserve">Considering </w:t>
      </w:r>
      <w:r>
        <w:t xml:space="preserve">the drawbacks of (4,2), we do not see the advantage of allowing (4,2). It is much preferred to have combinations (2,2) and (7,7) only. Furthermore, </w:t>
      </w:r>
      <w:r w:rsidR="006B5C56">
        <w:t xml:space="preserve">in this case </w:t>
      </w:r>
      <w:r>
        <w:t>no UE feature component (e.g., component 3) of 11-3) is needed beyond the RRC configuration of sub-slots.</w:t>
      </w:r>
    </w:p>
    <w:tbl>
      <w:tblPr>
        <w:tblW w:w="8340" w:type="dxa"/>
        <w:tblLook w:val="04A0" w:firstRow="1" w:lastRow="0" w:firstColumn="1" w:lastColumn="0" w:noHBand="0" w:noVBand="1"/>
      </w:tblPr>
      <w:tblGrid>
        <w:gridCol w:w="480"/>
        <w:gridCol w:w="480"/>
        <w:gridCol w:w="480"/>
        <w:gridCol w:w="480"/>
        <w:gridCol w:w="480"/>
        <w:gridCol w:w="480"/>
        <w:gridCol w:w="480"/>
        <w:gridCol w:w="480"/>
        <w:gridCol w:w="480"/>
        <w:gridCol w:w="480"/>
        <w:gridCol w:w="480"/>
        <w:gridCol w:w="480"/>
        <w:gridCol w:w="480"/>
        <w:gridCol w:w="480"/>
        <w:gridCol w:w="1140"/>
        <w:gridCol w:w="628"/>
      </w:tblGrid>
      <w:tr w:rsidR="00B64EFE" w:rsidRPr="00B64EFE" w14:paraId="588B07B9" w14:textId="77777777" w:rsidTr="00B64EFE">
        <w:trPr>
          <w:trHeight w:val="300"/>
        </w:trPr>
        <w:tc>
          <w:tcPr>
            <w:tcW w:w="480" w:type="dxa"/>
            <w:tcBorders>
              <w:top w:val="nil"/>
              <w:left w:val="nil"/>
              <w:bottom w:val="nil"/>
              <w:right w:val="nil"/>
            </w:tcBorders>
            <w:shd w:val="clear" w:color="auto" w:fill="auto"/>
            <w:noWrap/>
            <w:vAlign w:val="bottom"/>
            <w:hideMark/>
          </w:tcPr>
          <w:p w14:paraId="4119A88E"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0</w:t>
            </w:r>
          </w:p>
        </w:tc>
        <w:tc>
          <w:tcPr>
            <w:tcW w:w="480" w:type="dxa"/>
            <w:tcBorders>
              <w:top w:val="nil"/>
              <w:left w:val="nil"/>
              <w:bottom w:val="nil"/>
              <w:right w:val="nil"/>
            </w:tcBorders>
            <w:shd w:val="clear" w:color="auto" w:fill="auto"/>
            <w:noWrap/>
            <w:vAlign w:val="bottom"/>
            <w:hideMark/>
          </w:tcPr>
          <w:p w14:paraId="1064144C"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1</w:t>
            </w:r>
          </w:p>
        </w:tc>
        <w:tc>
          <w:tcPr>
            <w:tcW w:w="480" w:type="dxa"/>
            <w:tcBorders>
              <w:top w:val="nil"/>
              <w:left w:val="nil"/>
              <w:bottom w:val="nil"/>
              <w:right w:val="nil"/>
            </w:tcBorders>
            <w:shd w:val="clear" w:color="auto" w:fill="auto"/>
            <w:noWrap/>
            <w:vAlign w:val="bottom"/>
            <w:hideMark/>
          </w:tcPr>
          <w:p w14:paraId="6A6B70BD"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2</w:t>
            </w:r>
          </w:p>
        </w:tc>
        <w:tc>
          <w:tcPr>
            <w:tcW w:w="480" w:type="dxa"/>
            <w:tcBorders>
              <w:top w:val="nil"/>
              <w:left w:val="nil"/>
              <w:bottom w:val="nil"/>
              <w:right w:val="nil"/>
            </w:tcBorders>
            <w:shd w:val="clear" w:color="auto" w:fill="auto"/>
            <w:noWrap/>
            <w:vAlign w:val="bottom"/>
            <w:hideMark/>
          </w:tcPr>
          <w:p w14:paraId="36D0E74A"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3</w:t>
            </w:r>
          </w:p>
        </w:tc>
        <w:tc>
          <w:tcPr>
            <w:tcW w:w="480" w:type="dxa"/>
            <w:tcBorders>
              <w:top w:val="nil"/>
              <w:left w:val="nil"/>
              <w:bottom w:val="nil"/>
              <w:right w:val="nil"/>
            </w:tcBorders>
            <w:shd w:val="clear" w:color="auto" w:fill="auto"/>
            <w:noWrap/>
            <w:vAlign w:val="bottom"/>
            <w:hideMark/>
          </w:tcPr>
          <w:p w14:paraId="0745D98D"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4</w:t>
            </w:r>
          </w:p>
        </w:tc>
        <w:tc>
          <w:tcPr>
            <w:tcW w:w="480" w:type="dxa"/>
            <w:tcBorders>
              <w:top w:val="nil"/>
              <w:left w:val="nil"/>
              <w:bottom w:val="nil"/>
              <w:right w:val="nil"/>
            </w:tcBorders>
            <w:shd w:val="clear" w:color="auto" w:fill="auto"/>
            <w:noWrap/>
            <w:vAlign w:val="bottom"/>
            <w:hideMark/>
          </w:tcPr>
          <w:p w14:paraId="1DB7BDA2"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5</w:t>
            </w:r>
          </w:p>
        </w:tc>
        <w:tc>
          <w:tcPr>
            <w:tcW w:w="480" w:type="dxa"/>
            <w:tcBorders>
              <w:top w:val="nil"/>
              <w:left w:val="nil"/>
              <w:bottom w:val="nil"/>
              <w:right w:val="nil"/>
            </w:tcBorders>
            <w:shd w:val="clear" w:color="auto" w:fill="auto"/>
            <w:noWrap/>
            <w:vAlign w:val="bottom"/>
            <w:hideMark/>
          </w:tcPr>
          <w:p w14:paraId="2CF2A74D"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6</w:t>
            </w:r>
          </w:p>
        </w:tc>
        <w:tc>
          <w:tcPr>
            <w:tcW w:w="480" w:type="dxa"/>
            <w:tcBorders>
              <w:top w:val="nil"/>
              <w:left w:val="nil"/>
              <w:bottom w:val="nil"/>
              <w:right w:val="nil"/>
            </w:tcBorders>
            <w:shd w:val="clear" w:color="auto" w:fill="auto"/>
            <w:noWrap/>
            <w:vAlign w:val="bottom"/>
            <w:hideMark/>
          </w:tcPr>
          <w:p w14:paraId="7408F855"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7</w:t>
            </w:r>
          </w:p>
        </w:tc>
        <w:tc>
          <w:tcPr>
            <w:tcW w:w="480" w:type="dxa"/>
            <w:tcBorders>
              <w:top w:val="nil"/>
              <w:left w:val="nil"/>
              <w:bottom w:val="nil"/>
              <w:right w:val="nil"/>
            </w:tcBorders>
            <w:shd w:val="clear" w:color="auto" w:fill="auto"/>
            <w:noWrap/>
            <w:vAlign w:val="bottom"/>
            <w:hideMark/>
          </w:tcPr>
          <w:p w14:paraId="172BBA09"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8</w:t>
            </w:r>
          </w:p>
        </w:tc>
        <w:tc>
          <w:tcPr>
            <w:tcW w:w="480" w:type="dxa"/>
            <w:tcBorders>
              <w:top w:val="nil"/>
              <w:left w:val="nil"/>
              <w:bottom w:val="nil"/>
              <w:right w:val="nil"/>
            </w:tcBorders>
            <w:shd w:val="clear" w:color="auto" w:fill="auto"/>
            <w:noWrap/>
            <w:vAlign w:val="bottom"/>
            <w:hideMark/>
          </w:tcPr>
          <w:p w14:paraId="038CA724"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9</w:t>
            </w:r>
          </w:p>
        </w:tc>
        <w:tc>
          <w:tcPr>
            <w:tcW w:w="480" w:type="dxa"/>
            <w:tcBorders>
              <w:top w:val="nil"/>
              <w:left w:val="nil"/>
              <w:bottom w:val="nil"/>
              <w:right w:val="nil"/>
            </w:tcBorders>
            <w:shd w:val="clear" w:color="auto" w:fill="auto"/>
            <w:noWrap/>
            <w:vAlign w:val="bottom"/>
            <w:hideMark/>
          </w:tcPr>
          <w:p w14:paraId="45F4C893"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10</w:t>
            </w:r>
          </w:p>
        </w:tc>
        <w:tc>
          <w:tcPr>
            <w:tcW w:w="480" w:type="dxa"/>
            <w:tcBorders>
              <w:top w:val="nil"/>
              <w:left w:val="nil"/>
              <w:bottom w:val="nil"/>
              <w:right w:val="nil"/>
            </w:tcBorders>
            <w:shd w:val="clear" w:color="auto" w:fill="auto"/>
            <w:noWrap/>
            <w:vAlign w:val="bottom"/>
            <w:hideMark/>
          </w:tcPr>
          <w:p w14:paraId="5ABF8797"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11</w:t>
            </w:r>
          </w:p>
        </w:tc>
        <w:tc>
          <w:tcPr>
            <w:tcW w:w="480" w:type="dxa"/>
            <w:tcBorders>
              <w:top w:val="nil"/>
              <w:left w:val="nil"/>
              <w:bottom w:val="nil"/>
              <w:right w:val="nil"/>
            </w:tcBorders>
            <w:shd w:val="clear" w:color="auto" w:fill="auto"/>
            <w:noWrap/>
            <w:vAlign w:val="bottom"/>
            <w:hideMark/>
          </w:tcPr>
          <w:p w14:paraId="00C1A40B"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12</w:t>
            </w:r>
          </w:p>
        </w:tc>
        <w:tc>
          <w:tcPr>
            <w:tcW w:w="480" w:type="dxa"/>
            <w:tcBorders>
              <w:top w:val="nil"/>
              <w:left w:val="nil"/>
              <w:bottom w:val="nil"/>
              <w:right w:val="nil"/>
            </w:tcBorders>
            <w:shd w:val="clear" w:color="auto" w:fill="auto"/>
            <w:noWrap/>
            <w:vAlign w:val="bottom"/>
            <w:hideMark/>
          </w:tcPr>
          <w:p w14:paraId="1FBEFAF6" w14:textId="77777777" w:rsidR="00B64EFE" w:rsidRPr="00B64EFE" w:rsidRDefault="00B64EFE" w:rsidP="00B64EFE">
            <w:pPr>
              <w:overflowPunct/>
              <w:autoSpaceDE/>
              <w:autoSpaceDN/>
              <w:adjustRightInd/>
              <w:spacing w:after="0"/>
              <w:jc w:val="right"/>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13</w:t>
            </w:r>
          </w:p>
        </w:tc>
        <w:tc>
          <w:tcPr>
            <w:tcW w:w="1140" w:type="dxa"/>
            <w:tcBorders>
              <w:top w:val="nil"/>
              <w:left w:val="nil"/>
              <w:bottom w:val="nil"/>
              <w:right w:val="nil"/>
            </w:tcBorders>
            <w:shd w:val="clear" w:color="auto" w:fill="auto"/>
            <w:noWrap/>
            <w:vAlign w:val="bottom"/>
            <w:hideMark/>
          </w:tcPr>
          <w:p w14:paraId="7CAE7559"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(symbol)</w:t>
            </w:r>
          </w:p>
        </w:tc>
        <w:tc>
          <w:tcPr>
            <w:tcW w:w="480" w:type="dxa"/>
            <w:tcBorders>
              <w:top w:val="nil"/>
              <w:left w:val="nil"/>
              <w:bottom w:val="nil"/>
              <w:right w:val="nil"/>
            </w:tcBorders>
            <w:shd w:val="clear" w:color="auto" w:fill="auto"/>
            <w:noWrap/>
            <w:vAlign w:val="bottom"/>
            <w:hideMark/>
          </w:tcPr>
          <w:p w14:paraId="4BD8D5B3"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p>
        </w:tc>
      </w:tr>
      <w:tr w:rsidR="00B64EFE" w:rsidRPr="00B64EFE" w14:paraId="0F5864A7" w14:textId="77777777" w:rsidTr="00B64EFE">
        <w:trPr>
          <w:trHeight w:val="300"/>
        </w:trPr>
        <w:tc>
          <w:tcPr>
            <w:tcW w:w="480" w:type="dxa"/>
            <w:tcBorders>
              <w:top w:val="single" w:sz="8" w:space="0" w:color="auto"/>
              <w:left w:val="single" w:sz="8" w:space="0" w:color="auto"/>
              <w:bottom w:val="single" w:sz="8" w:space="0" w:color="auto"/>
              <w:right w:val="nil"/>
            </w:tcBorders>
            <w:shd w:val="clear" w:color="000000" w:fill="9BC2E6"/>
            <w:noWrap/>
            <w:vAlign w:val="bottom"/>
            <w:hideMark/>
          </w:tcPr>
          <w:p w14:paraId="68B419EC"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60536B24"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7B42404E"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37A9F6AF"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0E696547"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7C5F1621"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66E0D8D0"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5AEA81E5"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71862254"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41DFDF2F"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4481F2DA"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484E7ACC"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05C9C9A4"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294950C7"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7CAC9E9B"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p>
        </w:tc>
        <w:tc>
          <w:tcPr>
            <w:tcW w:w="480" w:type="dxa"/>
            <w:tcBorders>
              <w:top w:val="nil"/>
              <w:left w:val="nil"/>
              <w:bottom w:val="nil"/>
              <w:right w:val="nil"/>
            </w:tcBorders>
            <w:shd w:val="clear" w:color="000000" w:fill="9BC2E6"/>
            <w:noWrap/>
            <w:vAlign w:val="bottom"/>
            <w:hideMark/>
          </w:tcPr>
          <w:p w14:paraId="054DA8FB"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(2,2)</w:t>
            </w:r>
          </w:p>
        </w:tc>
      </w:tr>
      <w:tr w:rsidR="00B64EFE" w:rsidRPr="00B64EFE" w14:paraId="423F3E78" w14:textId="77777777" w:rsidTr="00B64EFE">
        <w:trPr>
          <w:trHeight w:val="300"/>
        </w:trPr>
        <w:tc>
          <w:tcPr>
            <w:tcW w:w="480" w:type="dxa"/>
            <w:tcBorders>
              <w:top w:val="nil"/>
              <w:left w:val="nil"/>
              <w:bottom w:val="nil"/>
              <w:right w:val="nil"/>
            </w:tcBorders>
            <w:shd w:val="clear" w:color="auto" w:fill="auto"/>
            <w:noWrap/>
            <w:vAlign w:val="bottom"/>
            <w:hideMark/>
          </w:tcPr>
          <w:p w14:paraId="4D1A0860"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p>
        </w:tc>
        <w:tc>
          <w:tcPr>
            <w:tcW w:w="480" w:type="dxa"/>
            <w:tcBorders>
              <w:top w:val="nil"/>
              <w:left w:val="nil"/>
              <w:bottom w:val="nil"/>
              <w:right w:val="nil"/>
            </w:tcBorders>
            <w:shd w:val="clear" w:color="auto" w:fill="auto"/>
            <w:noWrap/>
            <w:vAlign w:val="bottom"/>
            <w:hideMark/>
          </w:tcPr>
          <w:p w14:paraId="7AC01D11"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37281F58"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19474AB6"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5F09F67E"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1C421977"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2ED7ADF8"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2339BE5D"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7948C342"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7777B422"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4646719D"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17817838"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5CEDAA33"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24A746AA" w14:textId="77777777" w:rsidR="00B64EFE" w:rsidRPr="00B64EFE" w:rsidRDefault="00B64EFE" w:rsidP="00B64EFE">
            <w:pPr>
              <w:overflowPunct/>
              <w:autoSpaceDE/>
              <w:autoSpaceDN/>
              <w:adjustRightInd/>
              <w:spacing w:after="0"/>
              <w:textAlignment w:val="auto"/>
              <w:rPr>
                <w:lang w:val="en-US" w:eastAsia="zh-CN"/>
              </w:rPr>
            </w:pPr>
          </w:p>
        </w:tc>
        <w:tc>
          <w:tcPr>
            <w:tcW w:w="1140" w:type="dxa"/>
            <w:tcBorders>
              <w:top w:val="nil"/>
              <w:left w:val="nil"/>
              <w:bottom w:val="nil"/>
              <w:right w:val="nil"/>
            </w:tcBorders>
            <w:shd w:val="clear" w:color="auto" w:fill="auto"/>
            <w:noWrap/>
            <w:vAlign w:val="bottom"/>
            <w:hideMark/>
          </w:tcPr>
          <w:p w14:paraId="404E9CF5" w14:textId="77777777" w:rsidR="00B64EFE" w:rsidRPr="00B64EFE" w:rsidRDefault="00B64EFE" w:rsidP="00B64EFE">
            <w:pPr>
              <w:overflowPunct/>
              <w:autoSpaceDE/>
              <w:autoSpaceDN/>
              <w:adjustRightInd/>
              <w:spacing w:after="0"/>
              <w:textAlignment w:val="auto"/>
              <w:rPr>
                <w:lang w:val="en-US" w:eastAsia="zh-CN"/>
              </w:rPr>
            </w:pPr>
          </w:p>
        </w:tc>
        <w:tc>
          <w:tcPr>
            <w:tcW w:w="480" w:type="dxa"/>
            <w:tcBorders>
              <w:top w:val="nil"/>
              <w:left w:val="nil"/>
              <w:bottom w:val="nil"/>
              <w:right w:val="nil"/>
            </w:tcBorders>
            <w:shd w:val="clear" w:color="auto" w:fill="auto"/>
            <w:noWrap/>
            <w:vAlign w:val="bottom"/>
            <w:hideMark/>
          </w:tcPr>
          <w:p w14:paraId="22E83B7F" w14:textId="77777777" w:rsidR="00B64EFE" w:rsidRPr="00B64EFE" w:rsidRDefault="00B64EFE" w:rsidP="00B64EFE">
            <w:pPr>
              <w:overflowPunct/>
              <w:autoSpaceDE/>
              <w:autoSpaceDN/>
              <w:adjustRightInd/>
              <w:spacing w:after="0"/>
              <w:textAlignment w:val="auto"/>
              <w:rPr>
                <w:lang w:val="en-US" w:eastAsia="zh-CN"/>
              </w:rPr>
            </w:pPr>
          </w:p>
        </w:tc>
      </w:tr>
      <w:tr w:rsidR="00B64EFE" w:rsidRPr="00B64EFE" w14:paraId="71E4D4A4" w14:textId="77777777" w:rsidTr="00B64EFE">
        <w:trPr>
          <w:trHeight w:val="300"/>
        </w:trPr>
        <w:tc>
          <w:tcPr>
            <w:tcW w:w="480" w:type="dxa"/>
            <w:tcBorders>
              <w:top w:val="single" w:sz="8" w:space="0" w:color="auto"/>
              <w:left w:val="single" w:sz="8" w:space="0" w:color="auto"/>
              <w:bottom w:val="single" w:sz="8" w:space="0" w:color="auto"/>
              <w:right w:val="nil"/>
            </w:tcBorders>
            <w:shd w:val="clear" w:color="000000" w:fill="9BC2E6"/>
            <w:noWrap/>
            <w:vAlign w:val="bottom"/>
            <w:hideMark/>
          </w:tcPr>
          <w:p w14:paraId="0F4C5870"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7EE9882A"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6019BE66"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56AA34BB"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5AB5D66E"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0CF01467"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714B701B"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7618C0F4"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2EAF484D"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15758EF6"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59FA36CD"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6F154297"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nil"/>
            </w:tcBorders>
            <w:shd w:val="clear" w:color="000000" w:fill="9BC2E6"/>
            <w:noWrap/>
            <w:vAlign w:val="bottom"/>
            <w:hideMark/>
          </w:tcPr>
          <w:p w14:paraId="1DA89F2E"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480" w:type="dxa"/>
            <w:tcBorders>
              <w:top w:val="single" w:sz="8" w:space="0" w:color="auto"/>
              <w:left w:val="nil"/>
              <w:bottom w:val="single" w:sz="8" w:space="0" w:color="auto"/>
              <w:right w:val="single" w:sz="8" w:space="0" w:color="auto"/>
            </w:tcBorders>
            <w:shd w:val="clear" w:color="000000" w:fill="9BC2E6"/>
            <w:noWrap/>
            <w:vAlign w:val="bottom"/>
            <w:hideMark/>
          </w:tcPr>
          <w:p w14:paraId="68EF7928"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 </w:t>
            </w:r>
          </w:p>
        </w:tc>
        <w:tc>
          <w:tcPr>
            <w:tcW w:w="1140" w:type="dxa"/>
            <w:tcBorders>
              <w:top w:val="nil"/>
              <w:left w:val="nil"/>
              <w:bottom w:val="nil"/>
              <w:right w:val="nil"/>
            </w:tcBorders>
            <w:shd w:val="clear" w:color="auto" w:fill="auto"/>
            <w:noWrap/>
            <w:vAlign w:val="bottom"/>
            <w:hideMark/>
          </w:tcPr>
          <w:p w14:paraId="4607DE61"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p>
        </w:tc>
        <w:tc>
          <w:tcPr>
            <w:tcW w:w="480" w:type="dxa"/>
            <w:tcBorders>
              <w:top w:val="nil"/>
              <w:left w:val="nil"/>
              <w:bottom w:val="nil"/>
              <w:right w:val="nil"/>
            </w:tcBorders>
            <w:shd w:val="clear" w:color="000000" w:fill="9BC2E6"/>
            <w:noWrap/>
            <w:vAlign w:val="bottom"/>
            <w:hideMark/>
          </w:tcPr>
          <w:p w14:paraId="36EB09D4" w14:textId="77777777" w:rsidR="00B64EFE" w:rsidRPr="00B64EFE" w:rsidRDefault="00B64EFE" w:rsidP="00B64EFE">
            <w:pPr>
              <w:overflowPunct/>
              <w:autoSpaceDE/>
              <w:autoSpaceDN/>
              <w:adjustRightInd/>
              <w:spacing w:after="0"/>
              <w:textAlignment w:val="auto"/>
              <w:rPr>
                <w:rFonts w:ascii="Calibri" w:hAnsi="Calibri" w:cs="Calibri"/>
                <w:color w:val="000000"/>
                <w:sz w:val="22"/>
                <w:szCs w:val="22"/>
                <w:lang w:val="en-US" w:eastAsia="zh-CN"/>
              </w:rPr>
            </w:pPr>
            <w:r w:rsidRPr="00B64EFE">
              <w:rPr>
                <w:rFonts w:ascii="Calibri" w:hAnsi="Calibri" w:cs="Calibri"/>
                <w:color w:val="000000"/>
                <w:sz w:val="22"/>
                <w:szCs w:val="22"/>
                <w:lang w:val="en-US" w:eastAsia="zh-CN"/>
              </w:rPr>
              <w:t>(7,7)</w:t>
            </w:r>
          </w:p>
        </w:tc>
      </w:tr>
    </w:tbl>
    <w:p w14:paraId="68D02431" w14:textId="27BD6F7F" w:rsidR="0005011E" w:rsidRDefault="0005011E" w:rsidP="00CE0424">
      <w:pPr>
        <w:pStyle w:val="BodyText"/>
      </w:pPr>
    </w:p>
    <w:p w14:paraId="1057F272" w14:textId="7407747E" w:rsidR="00123F43" w:rsidRPr="00123F43" w:rsidRDefault="00123F43" w:rsidP="00123F43">
      <w:pPr>
        <w:pStyle w:val="TF"/>
        <w:rPr>
          <w:lang w:val="en-US"/>
        </w:rPr>
      </w:pPr>
      <w:bookmarkStart w:id="4" w:name="_Ref37464640"/>
      <w:bookmarkStart w:id="5" w:name="_Ref37464648"/>
      <w:r w:rsidRPr="00CE0424">
        <w:t xml:space="preserve">Figure </w:t>
      </w:r>
      <w:r w:rsidRPr="00CE0424">
        <w:fldChar w:fldCharType="begin"/>
      </w:r>
      <w:r w:rsidRPr="00CE0424">
        <w:instrText xml:space="preserve"> SEQ Figure \* ARABIC </w:instrText>
      </w:r>
      <w:r w:rsidRPr="00CE0424">
        <w:fldChar w:fldCharType="separate"/>
      </w:r>
      <w:r w:rsidR="005F544E">
        <w:rPr>
          <w:noProof/>
        </w:rPr>
        <w:t>3</w:t>
      </w:r>
      <w:r w:rsidRPr="00CE0424">
        <w:fldChar w:fldCharType="end"/>
      </w:r>
      <w:bookmarkEnd w:id="5"/>
      <w:r w:rsidRPr="00CE0424">
        <w:t xml:space="preserve">: </w:t>
      </w:r>
      <w:r>
        <w:rPr>
          <w:lang w:val="en-US"/>
        </w:rPr>
        <w:t>Sub-slot layout of combinations (2,7) and (7,7).</w:t>
      </w:r>
      <w:bookmarkEnd w:id="4"/>
    </w:p>
    <w:p w14:paraId="59F4640D" w14:textId="55B5F3AE" w:rsidR="00BD4165" w:rsidRPr="00CE0424" w:rsidRDefault="00BD4165" w:rsidP="00BD4165">
      <w:pPr>
        <w:pStyle w:val="Observation"/>
      </w:pPr>
      <w:bookmarkStart w:id="6" w:name="_Toc347823812"/>
      <w:bookmarkStart w:id="7" w:name="_Toc347823993"/>
      <w:bookmarkStart w:id="8" w:name="_Toc347824244"/>
      <w:bookmarkStart w:id="9" w:name="_Toc37442448"/>
      <w:r>
        <w:t>Combination (4,2) of sub-slot pattern prevents at least half of the sub-slots from actual HARQ-ACK PUCCH transmission.</w:t>
      </w:r>
      <w:bookmarkEnd w:id="6"/>
      <w:bookmarkEnd w:id="7"/>
      <w:bookmarkEnd w:id="8"/>
      <w:r>
        <w:t xml:space="preserve"> It leads to uneven sub-slot pattern between slots, or different sub-slot pattern between adjacent slots.</w:t>
      </w:r>
      <w:bookmarkEnd w:id="9"/>
    </w:p>
    <w:p w14:paraId="27C2DF96" w14:textId="77777777" w:rsidR="00BD4165" w:rsidRDefault="00BD4165" w:rsidP="00CE0424">
      <w:pPr>
        <w:pStyle w:val="BodyText"/>
      </w:pPr>
    </w:p>
    <w:p w14:paraId="1E206E42" w14:textId="3F9D2EEE" w:rsidR="00B64EFE" w:rsidRDefault="00BD4165" w:rsidP="00CE0424">
      <w:pPr>
        <w:pStyle w:val="BodyText"/>
      </w:pPr>
      <w:r>
        <w:t>Based on the observation, we have the following proposal.</w:t>
      </w:r>
    </w:p>
    <w:p w14:paraId="7D078845" w14:textId="77777777" w:rsidR="00BD4165" w:rsidRPr="00A04F49" w:rsidRDefault="00BD4165" w:rsidP="00BD4165">
      <w:pPr>
        <w:pStyle w:val="Proposal"/>
      </w:pPr>
      <w:bookmarkStart w:id="10" w:name="_Toc347823621"/>
      <w:bookmarkStart w:id="11" w:name="_Toc347824073"/>
      <w:bookmarkStart w:id="12" w:name="_Toc347824246"/>
      <w:bookmarkStart w:id="13" w:name="_Toc37442497"/>
      <w:r>
        <w:t>Component 3) of feature group 11-3 should not be included</w:t>
      </w:r>
      <w:r w:rsidRPr="00A04F49">
        <w:t>.</w:t>
      </w:r>
      <w:bookmarkEnd w:id="10"/>
      <w:bookmarkEnd w:id="11"/>
      <w:bookmarkEnd w:id="12"/>
      <w:r>
        <w:t xml:space="preserve"> UE performs the sub-slot based HARQ-ACK transmission according to RRC configuration.</w:t>
      </w:r>
      <w:bookmarkEnd w:id="13"/>
      <w:r>
        <w:t xml:space="preserve"> </w:t>
      </w:r>
    </w:p>
    <w:p w14:paraId="6128959E" w14:textId="0C1E429F" w:rsidR="0027144F" w:rsidRDefault="0027144F" w:rsidP="00CE0424">
      <w:pPr>
        <w:pStyle w:val="BodyText"/>
      </w:pPr>
    </w:p>
    <w:p w14:paraId="5894C51E" w14:textId="27E0956C" w:rsidR="00F63950" w:rsidRDefault="00230D18" w:rsidP="00F63950">
      <w:pPr>
        <w:pStyle w:val="Heading2"/>
      </w:pPr>
      <w:r>
        <w:lastRenderedPageBreak/>
        <w:t>2.2</w:t>
      </w:r>
      <w:r>
        <w:tab/>
      </w:r>
      <w:r w:rsidR="00AF5552">
        <w:rPr>
          <w:rFonts w:eastAsia="Batang"/>
          <w:szCs w:val="32"/>
          <w:lang w:val="en-US" w:eastAsia="ko-KR"/>
        </w:rPr>
        <w:t>Feature 11-4</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790"/>
        <w:gridCol w:w="6480"/>
      </w:tblGrid>
      <w:tr w:rsidR="00AF5552" w14:paraId="00E720F9" w14:textId="77777777" w:rsidTr="00AF5552">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ABC74E0" w14:textId="6B042532" w:rsidR="00AF5552" w:rsidRPr="00A62B54" w:rsidRDefault="000D626D" w:rsidP="00703358">
            <w:pPr>
              <w:pStyle w:val="TAL"/>
              <w:rPr>
                <w:rFonts w:eastAsia="SimSun"/>
                <w:lang w:eastAsia="zh-CN"/>
              </w:rPr>
            </w:pPr>
            <w:r>
              <w:rPr>
                <w:rFonts w:eastAsia="SimSun"/>
                <w:lang w:eastAsia="zh-CN"/>
              </w:rPr>
              <w:t>11</w:t>
            </w:r>
            <w:r w:rsidRPr="0032705D">
              <w:rPr>
                <w:rFonts w:eastAsia="SimSun"/>
                <w:lang w:eastAsia="zh-CN"/>
              </w:rPr>
              <w:t>-4</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ADC762F" w14:textId="15A1567B" w:rsidR="00AF5552" w:rsidRPr="00BB3ED7" w:rsidRDefault="000D626D" w:rsidP="00703358">
            <w:pPr>
              <w:pStyle w:val="TAL"/>
              <w:rPr>
                <w:rFonts w:eastAsia="SimSun"/>
                <w:lang w:eastAsia="zh-CN"/>
              </w:rPr>
            </w:pPr>
            <w:r>
              <w:rPr>
                <w:rFonts w:eastAsia="SimSun"/>
                <w:lang w:eastAsia="zh-CN"/>
              </w:rPr>
              <w:t>T</w:t>
            </w:r>
            <w:r w:rsidRPr="0032705D">
              <w:rPr>
                <w:rFonts w:eastAsia="SimSun"/>
                <w:lang w:eastAsia="zh-CN"/>
              </w:rPr>
              <w:t>wo HARQ-ACK codebooks</w:t>
            </w:r>
            <w:r>
              <w:rPr>
                <w:rFonts w:eastAsia="SimSun"/>
                <w:lang w:eastAsia="zh-CN"/>
              </w:rPr>
              <w:t xml:space="preserve"> </w:t>
            </w:r>
            <w:r>
              <w:rPr>
                <w:lang w:eastAsia="ja-JP"/>
              </w:rPr>
              <w:t>[with up to one sub-slot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81574D5" w14:textId="77777777" w:rsidR="000D626D" w:rsidRPr="0032705D" w:rsidRDefault="000D626D" w:rsidP="000D626D">
            <w:pPr>
              <w:pStyle w:val="TAL"/>
              <w:rPr>
                <w:lang w:eastAsia="ja-JP"/>
              </w:rPr>
            </w:pPr>
            <w:r w:rsidRPr="0032705D">
              <w:rPr>
                <w:lang w:eastAsia="ja-JP"/>
              </w:rPr>
              <w:t xml:space="preserve">1) Supports </w:t>
            </w:r>
            <w:r w:rsidRPr="0032705D">
              <w:rPr>
                <w:rFonts w:hint="eastAsia"/>
                <w:lang w:eastAsia="ja-JP"/>
              </w:rPr>
              <w:t>two HARQ-ACK codebooks with different priorities to be simultaneously constructed</w:t>
            </w:r>
            <w:r>
              <w:rPr>
                <w:lang w:eastAsia="ja-JP"/>
              </w:rPr>
              <w:t xml:space="preserve">  [with the restriction up to one sub-slot based HARQ-ACK codebook]</w:t>
            </w:r>
            <w:r w:rsidRPr="0032705D">
              <w:rPr>
                <w:lang w:eastAsia="ja-JP"/>
              </w:rPr>
              <w:t>.</w:t>
            </w:r>
          </w:p>
          <w:p w14:paraId="1A2FFA01" w14:textId="77777777" w:rsidR="000D626D" w:rsidRPr="0032705D" w:rsidRDefault="000D626D" w:rsidP="000D626D">
            <w:pPr>
              <w:pStyle w:val="TAL"/>
              <w:rPr>
                <w:lang w:eastAsia="ja-JP"/>
              </w:rPr>
            </w:pPr>
            <w:r w:rsidRPr="0032705D">
              <w:rPr>
                <w:lang w:eastAsia="ja-JP"/>
              </w:rPr>
              <w:t>2) Supports separate PUCCH configuration for different HARQ-ACK codebooks</w:t>
            </w:r>
          </w:p>
          <w:p w14:paraId="3D96BE0C" w14:textId="77777777" w:rsidR="000D626D" w:rsidRPr="005338F1" w:rsidRDefault="000D626D" w:rsidP="000D626D">
            <w:pPr>
              <w:pStyle w:val="TAL"/>
              <w:rPr>
                <w:rFonts w:eastAsia="MS Mincho"/>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5B05A95A" w14:textId="77777777" w:rsidR="000D626D" w:rsidRDefault="000D626D" w:rsidP="000D626D">
            <w:pPr>
              <w:pStyle w:val="TAL"/>
              <w:rPr>
                <w:lang w:eastAsia="ja-JP"/>
              </w:rPr>
            </w:pPr>
            <w:r>
              <w:rPr>
                <w:lang w:eastAsia="ja-JP"/>
              </w:rPr>
              <w:t xml:space="preserve">[4) Supports a DCI format </w:t>
            </w:r>
            <w:r>
              <w:rPr>
                <w:iCs/>
                <w:lang w:eastAsia="zh-CN"/>
              </w:rPr>
              <w:t>(from the formats 0_1/1_1/0_2/1_2)</w:t>
            </w:r>
            <w:r>
              <w:rPr>
                <w:lang w:eastAsia="ja-JP"/>
              </w:rPr>
              <w:t xml:space="preserve"> scheduling </w:t>
            </w:r>
            <w:r>
              <w:rPr>
                <w:rFonts w:eastAsia="SimSun"/>
                <w:shd w:val="clear" w:color="auto" w:fill="FFFFFF"/>
                <w:lang w:eastAsia="zh-CN"/>
              </w:rPr>
              <w:t xml:space="preserve">PDSCH with different HARQ-ACK priorities or PUSCH with different priorities when only DCI format 0_1/1_1 is configured or only DCI format 0_2/1_2 is configured per BWP] </w:t>
            </w:r>
            <w:r>
              <w:rPr>
                <w:lang w:eastAsia="ja-JP"/>
              </w:rPr>
              <w:t xml:space="preserve"> </w:t>
            </w:r>
          </w:p>
          <w:p w14:paraId="033EB71E" w14:textId="77777777" w:rsidR="000D626D" w:rsidRDefault="000D626D" w:rsidP="000D626D">
            <w:pPr>
              <w:pStyle w:val="TAL"/>
              <w:rPr>
                <w:lang w:eastAsia="ja-JP"/>
              </w:rPr>
            </w:pPr>
            <w:r>
              <w:rPr>
                <w:lang w:eastAsia="ja-JP"/>
              </w:rPr>
              <w:t xml:space="preserve">5) Supports separate configuration of parameters </w:t>
            </w:r>
            <w:r w:rsidRPr="007E71F4">
              <w:rPr>
                <w:i/>
                <w:lang w:eastAsia="ja-JP"/>
              </w:rPr>
              <w:t>PDSCH-HARQ-ACK-Codebook</w:t>
            </w:r>
            <w:r w:rsidRPr="007E71F4">
              <w:rPr>
                <w:lang w:eastAsia="ja-JP"/>
              </w:rPr>
              <w:t xml:space="preserve">, </w:t>
            </w:r>
            <w:r w:rsidRPr="007E71F4">
              <w:rPr>
                <w:i/>
                <w:lang w:eastAsia="ja-JP"/>
              </w:rPr>
              <w:t>UCI-</w:t>
            </w:r>
            <w:proofErr w:type="spellStart"/>
            <w:r w:rsidRPr="007E71F4">
              <w:rPr>
                <w:i/>
                <w:lang w:eastAsia="ja-JP"/>
              </w:rPr>
              <w:t>OnPUSCH</w:t>
            </w:r>
            <w:proofErr w:type="spellEnd"/>
            <w:r w:rsidRPr="007E71F4">
              <w:rPr>
                <w:lang w:eastAsia="ja-JP"/>
              </w:rPr>
              <w:t xml:space="preserve"> and</w:t>
            </w:r>
            <w:r>
              <w:rPr>
                <w:lang w:eastAsia="ja-JP"/>
              </w:rPr>
              <w:t xml:space="preserve"> </w:t>
            </w:r>
            <w:r w:rsidRPr="007E71F4">
              <w:rPr>
                <w:lang w:eastAsia="ja-JP"/>
              </w:rPr>
              <w:t>‘</w:t>
            </w:r>
            <w:proofErr w:type="spellStart"/>
            <w:r w:rsidRPr="007E71F4">
              <w:rPr>
                <w:i/>
                <w:lang w:eastAsia="ja-JP"/>
              </w:rPr>
              <w:t>codeBlockGroupTransmission</w:t>
            </w:r>
            <w:proofErr w:type="spellEnd"/>
            <w:r>
              <w:rPr>
                <w:i/>
                <w:lang w:eastAsia="ja-JP"/>
              </w:rPr>
              <w:t>”</w:t>
            </w:r>
            <w:r>
              <w:rPr>
                <w:lang w:eastAsia="ja-JP"/>
              </w:rPr>
              <w:t xml:space="preserve"> for different HARQ-ACK codebooks. </w:t>
            </w:r>
            <w:r w:rsidRPr="007E71F4">
              <w:rPr>
                <w:lang w:eastAsia="ja-JP"/>
              </w:rPr>
              <w:t xml:space="preserve"> </w:t>
            </w:r>
            <w:r>
              <w:rPr>
                <w:lang w:eastAsia="ja-JP"/>
              </w:rPr>
              <w:t xml:space="preserve"> </w:t>
            </w:r>
          </w:p>
          <w:p w14:paraId="0986513C" w14:textId="1803B013" w:rsidR="00AF5552" w:rsidRDefault="000D626D" w:rsidP="000D626D">
            <w:pPr>
              <w:pStyle w:val="TAL"/>
              <w:rPr>
                <w:lang w:eastAsia="ja-JP"/>
              </w:rPr>
            </w:pPr>
            <w:r>
              <w:rPr>
                <w:lang w:eastAsia="zh-CN"/>
              </w:rPr>
              <w:t>[6) Supported maximum number of actual PUCCH transmissions for HARQ-ACK within a slot]</w:t>
            </w:r>
          </w:p>
        </w:tc>
      </w:tr>
    </w:tbl>
    <w:p w14:paraId="41F26293" w14:textId="19FC02A2" w:rsidR="00AF5552" w:rsidRDefault="00AF5552" w:rsidP="00A04F49">
      <w:pPr>
        <w:pStyle w:val="BodyText"/>
      </w:pPr>
    </w:p>
    <w:p w14:paraId="73FDC2B6" w14:textId="2A9C53AB" w:rsidR="000D626D" w:rsidRDefault="000D626D" w:rsidP="00A04F49">
      <w:pPr>
        <w:pStyle w:val="BodyText"/>
      </w:pPr>
      <w:r>
        <w:t>Component 4) of feature 11-4 directly corresponds to the Working Assumption from RAN1#99, as copied below.</w:t>
      </w:r>
    </w:p>
    <w:p w14:paraId="69A649A1" w14:textId="77777777" w:rsidR="000D626D" w:rsidRPr="00C76A4F" w:rsidRDefault="000D626D" w:rsidP="000D626D">
      <w:pPr>
        <w:spacing w:after="0"/>
        <w:ind w:left="567"/>
        <w:rPr>
          <w:rFonts w:ascii="Times" w:hAnsi="Times"/>
          <w:highlight w:val="darkYellow"/>
          <w:lang w:eastAsia="x-none"/>
        </w:rPr>
      </w:pPr>
      <w:r w:rsidRPr="00C76A4F">
        <w:rPr>
          <w:rFonts w:ascii="Times" w:hAnsi="Times"/>
          <w:highlight w:val="darkYellow"/>
          <w:lang w:eastAsia="x-none"/>
        </w:rPr>
        <w:t>Working assumption:</w:t>
      </w:r>
    </w:p>
    <w:p w14:paraId="2B638AA5" w14:textId="77777777" w:rsidR="000D626D" w:rsidRPr="00C76A4F" w:rsidRDefault="000D626D" w:rsidP="000D626D">
      <w:pPr>
        <w:spacing w:after="0"/>
        <w:ind w:left="567"/>
        <w:rPr>
          <w:rFonts w:ascii="Times" w:eastAsia="SimSun" w:hAnsi="Times"/>
          <w:shd w:val="clear" w:color="auto" w:fill="FFFFFF"/>
          <w:lang w:eastAsia="zh-CN"/>
        </w:rPr>
      </w:pPr>
      <w:r w:rsidRPr="00C76A4F">
        <w:rPr>
          <w:rFonts w:ascii="Times" w:eastAsia="SimSun" w:hAnsi="Times"/>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24CA97A9" w14:textId="77777777" w:rsidR="000D626D" w:rsidRPr="00C76A4F" w:rsidRDefault="000D626D" w:rsidP="000D626D">
      <w:pPr>
        <w:numPr>
          <w:ilvl w:val="0"/>
          <w:numId w:val="26"/>
        </w:numPr>
        <w:overflowPunct/>
        <w:autoSpaceDE/>
        <w:autoSpaceDN/>
        <w:adjustRightInd/>
        <w:spacing w:after="0"/>
        <w:ind w:left="1407"/>
        <w:jc w:val="both"/>
        <w:textAlignment w:val="auto"/>
        <w:rPr>
          <w:rFonts w:ascii="Times" w:eastAsia="SimSun" w:hAnsi="Times"/>
          <w:lang w:eastAsia="zh-CN"/>
        </w:rPr>
      </w:pPr>
      <w:r w:rsidRPr="00C76A4F">
        <w:rPr>
          <w:rFonts w:ascii="Times" w:eastAsia="SimSun" w:hAnsi="Times"/>
          <w:lang w:eastAsia="zh-CN"/>
        </w:rPr>
        <w:t>1-bit field in DCI can be configured as the PHY identification of the priority</w:t>
      </w:r>
    </w:p>
    <w:p w14:paraId="0B28FF52" w14:textId="77777777" w:rsidR="000D626D" w:rsidRPr="00C76A4F" w:rsidRDefault="000D626D" w:rsidP="000D626D">
      <w:pPr>
        <w:numPr>
          <w:ilvl w:val="0"/>
          <w:numId w:val="26"/>
        </w:numPr>
        <w:overflowPunct/>
        <w:autoSpaceDE/>
        <w:autoSpaceDN/>
        <w:adjustRightInd/>
        <w:spacing w:after="0"/>
        <w:ind w:left="1407"/>
        <w:jc w:val="both"/>
        <w:textAlignment w:val="auto"/>
        <w:rPr>
          <w:rFonts w:ascii="Times" w:eastAsia="SimSun" w:hAnsi="Times"/>
          <w:lang w:eastAsia="zh-CN"/>
        </w:rPr>
      </w:pPr>
      <w:r w:rsidRPr="00C76A4F">
        <w:rPr>
          <w:rFonts w:ascii="Times" w:eastAsia="SimSun" w:hAnsi="Times"/>
          <w:lang w:eastAsia="zh-CN"/>
        </w:rPr>
        <w:t>No indication of different priorities by DCI formats 0_0/1_0</w:t>
      </w:r>
    </w:p>
    <w:p w14:paraId="42A917ED" w14:textId="6C07A527" w:rsidR="00AF5552" w:rsidRDefault="00AF5552" w:rsidP="00A04F49">
      <w:pPr>
        <w:pStyle w:val="BodyText"/>
      </w:pPr>
    </w:p>
    <w:p w14:paraId="7C57C2FF" w14:textId="06687B77" w:rsidR="00AF5552" w:rsidRDefault="000D626D" w:rsidP="00A04F49">
      <w:pPr>
        <w:pStyle w:val="BodyText"/>
      </w:pPr>
      <w:r>
        <w:t>One FFS point is raised: “</w:t>
      </w:r>
      <w:r>
        <w:rPr>
          <w:rFonts w:hint="eastAsia"/>
        </w:rPr>
        <w:t>F</w:t>
      </w:r>
      <w:r>
        <w:t xml:space="preserve">FS: Whether and how to combine FG 11-4 and FG 12-1”. </w:t>
      </w:r>
      <w:r w:rsidR="00761C8A">
        <w:t xml:space="preserve">FG 12-1 </w:t>
      </w:r>
      <w:r w:rsidR="00CC765E">
        <w:t xml:space="preserve">(shown below) is necessary before HARQ-ACK codebook of different priorities can be supported. Thus FG 12-1 should </w:t>
      </w:r>
      <w:r w:rsidR="006B5C56">
        <w:t>be p</w:t>
      </w:r>
      <w:r w:rsidR="00761C8A">
        <w:t>rerequisite feature group</w:t>
      </w:r>
      <w:r w:rsidR="00CC765E">
        <w:t xml:space="preserve"> of FG 11-4.</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790"/>
        <w:gridCol w:w="6480"/>
      </w:tblGrid>
      <w:tr w:rsidR="00CC765E" w14:paraId="1BE92D29" w14:textId="77777777" w:rsidTr="00CC765E">
        <w:trPr>
          <w:trHeight w:val="20"/>
        </w:trPr>
        <w:tc>
          <w:tcPr>
            <w:tcW w:w="715" w:type="dxa"/>
            <w:tcBorders>
              <w:top w:val="single" w:sz="4" w:space="0" w:color="auto"/>
              <w:left w:val="single" w:sz="4" w:space="0" w:color="auto"/>
              <w:bottom w:val="single" w:sz="4" w:space="0" w:color="auto"/>
              <w:right w:val="single" w:sz="4" w:space="0" w:color="auto"/>
            </w:tcBorders>
            <w:hideMark/>
          </w:tcPr>
          <w:p w14:paraId="2A7ACE8B" w14:textId="77777777" w:rsidR="00CC765E" w:rsidRDefault="00CC765E" w:rsidP="00703358">
            <w:pPr>
              <w:pStyle w:val="TAL"/>
              <w:rPr>
                <w:rFonts w:eastAsia="SimSun"/>
                <w:lang w:eastAsia="zh-CN"/>
              </w:rPr>
            </w:pPr>
            <w:r>
              <w:rPr>
                <w:lang w:eastAsia="ja-JP"/>
              </w:rPr>
              <w:t>12-1</w:t>
            </w:r>
          </w:p>
        </w:tc>
        <w:tc>
          <w:tcPr>
            <w:tcW w:w="2790" w:type="dxa"/>
            <w:tcBorders>
              <w:top w:val="single" w:sz="4" w:space="0" w:color="auto"/>
              <w:left w:val="single" w:sz="4" w:space="0" w:color="auto"/>
              <w:bottom w:val="single" w:sz="4" w:space="0" w:color="auto"/>
              <w:right w:val="single" w:sz="4" w:space="0" w:color="auto"/>
            </w:tcBorders>
            <w:hideMark/>
          </w:tcPr>
          <w:p w14:paraId="44527CC4" w14:textId="77777777" w:rsidR="00CC765E" w:rsidRDefault="00CC765E" w:rsidP="00703358">
            <w:pPr>
              <w:pStyle w:val="TAL"/>
              <w:rPr>
                <w:rFonts w:eastAsia="SimSun"/>
                <w:lang w:eastAsia="zh-CN"/>
              </w:rPr>
            </w:pPr>
            <w:r>
              <w:t>UL intra-UE multiplexing/prioritization of overlapping channel/signals with two priority levels in physical layer</w:t>
            </w:r>
          </w:p>
        </w:tc>
        <w:tc>
          <w:tcPr>
            <w:tcW w:w="6480" w:type="dxa"/>
            <w:tcBorders>
              <w:top w:val="single" w:sz="4" w:space="0" w:color="auto"/>
              <w:left w:val="single" w:sz="4" w:space="0" w:color="auto"/>
              <w:bottom w:val="single" w:sz="4" w:space="0" w:color="auto"/>
              <w:right w:val="single" w:sz="4" w:space="0" w:color="auto"/>
            </w:tcBorders>
            <w:hideMark/>
          </w:tcPr>
          <w:p w14:paraId="2B8955FA" w14:textId="77777777" w:rsidR="00CC765E" w:rsidRDefault="00CC765E" w:rsidP="00703358">
            <w:pPr>
              <w:pStyle w:val="TAL"/>
            </w:pPr>
            <w:r>
              <w:t>Support intra-UE multiplexing/prioritization of UL overlapping channels/signals with two priority levels in physical layer (PHY)</w:t>
            </w:r>
          </w:p>
          <w:p w14:paraId="4EB42B71" w14:textId="77777777" w:rsidR="00CC765E" w:rsidRDefault="00CC765E" w:rsidP="00CC765E">
            <w:pPr>
              <w:pStyle w:val="TAL"/>
              <w:numPr>
                <w:ilvl w:val="0"/>
                <w:numId w:val="27"/>
              </w:numPr>
              <w:overflowPunct/>
              <w:autoSpaceDE/>
              <w:autoSpaceDN/>
              <w:adjustRightInd/>
              <w:textAlignment w:val="auto"/>
            </w:pPr>
            <w:r>
              <w:t>Configuration of PHY priority level for CG PUSCH and SR, and dynamic indication of priority level for dynamic PUSCH</w:t>
            </w:r>
          </w:p>
          <w:p w14:paraId="70F35CCC" w14:textId="77777777" w:rsidR="00CC765E" w:rsidRDefault="00CC765E" w:rsidP="00CC765E">
            <w:pPr>
              <w:pStyle w:val="TAL"/>
              <w:numPr>
                <w:ilvl w:val="0"/>
                <w:numId w:val="27"/>
              </w:numPr>
              <w:overflowPunct/>
              <w:autoSpaceDE/>
              <w:autoSpaceDN/>
              <w:adjustRightInd/>
              <w:textAlignment w:val="auto"/>
              <w:rPr>
                <w:lang w:eastAsia="ja-JP"/>
              </w:rPr>
            </w:pPr>
            <w:r>
              <w:t>Multiplexing/prioritization between UL channels/signals with the same PHY priority level</w:t>
            </w:r>
          </w:p>
          <w:p w14:paraId="433BFAA4" w14:textId="77777777" w:rsidR="00CC765E" w:rsidRDefault="00CC765E" w:rsidP="00CC765E">
            <w:pPr>
              <w:pStyle w:val="TAL"/>
              <w:numPr>
                <w:ilvl w:val="0"/>
                <w:numId w:val="27"/>
              </w:numPr>
              <w:overflowPunct/>
              <w:autoSpaceDE/>
              <w:autoSpaceDN/>
              <w:adjustRightInd/>
              <w:textAlignment w:val="auto"/>
            </w:pPr>
            <w:r>
              <w:t>Prioritization between UL channels/signals with different PHY priority levels</w:t>
            </w:r>
          </w:p>
          <w:p w14:paraId="6F0B3B38" w14:textId="77777777" w:rsidR="00CC765E" w:rsidRDefault="00CC765E" w:rsidP="00CC765E">
            <w:pPr>
              <w:pStyle w:val="TAL"/>
              <w:numPr>
                <w:ilvl w:val="0"/>
                <w:numId w:val="27"/>
              </w:numPr>
              <w:overflowPunct/>
              <w:autoSpaceDE/>
              <w:autoSpaceDN/>
              <w:adjustRightInd/>
              <w:textAlignment w:val="auto"/>
              <w:rPr>
                <w:lang w:eastAsia="ja-JP"/>
              </w:rPr>
            </w:pPr>
            <w:r>
              <w:rPr>
                <w:lang w:eastAsia="ja-JP"/>
              </w:rPr>
              <w:t>Additional number of symbols (d1) needed beyond the PUSCH preparation time for cancelling a low priority UL transmission.</w:t>
            </w:r>
          </w:p>
          <w:p w14:paraId="1CEBC4CA" w14:textId="77777777" w:rsidR="00CC765E" w:rsidRDefault="00CC765E" w:rsidP="00CC765E">
            <w:pPr>
              <w:pStyle w:val="TAL"/>
              <w:numPr>
                <w:ilvl w:val="0"/>
                <w:numId w:val="27"/>
              </w:numPr>
              <w:overflowPunct/>
              <w:autoSpaceDE/>
              <w:autoSpaceDN/>
              <w:adjustRightInd/>
              <w:textAlignment w:val="auto"/>
              <w:rPr>
                <w:lang w:eastAsia="ja-JP"/>
              </w:rPr>
            </w:pPr>
            <w:r>
              <w:rPr>
                <w:lang w:eastAsia="ja-JP"/>
              </w:rPr>
              <w:t xml:space="preserve">Additional number of symbols (d2) needed beyond the PUSCH preparation time for scheduling a high priority UL transmission that cancels a low priority UL transmission </w:t>
            </w:r>
          </w:p>
        </w:tc>
      </w:tr>
    </w:tbl>
    <w:p w14:paraId="443C7383" w14:textId="45B64F01" w:rsidR="00CC765E" w:rsidRDefault="00CC765E" w:rsidP="00A04F49">
      <w:pPr>
        <w:pStyle w:val="BodyText"/>
      </w:pPr>
    </w:p>
    <w:p w14:paraId="225BA288" w14:textId="4474C3E0" w:rsidR="004747FD" w:rsidRPr="00A04F49" w:rsidRDefault="004747FD" w:rsidP="004747FD">
      <w:pPr>
        <w:pStyle w:val="Proposal"/>
      </w:pPr>
      <w:bookmarkStart w:id="14" w:name="_Toc37442498"/>
      <w:r>
        <w:t>FG 12-1 is the prerequisite feature group of FG 11-4.</w:t>
      </w:r>
      <w:bookmarkEnd w:id="14"/>
      <w:r>
        <w:t xml:space="preserve"> </w:t>
      </w:r>
    </w:p>
    <w:p w14:paraId="7E01B3CC" w14:textId="77777777" w:rsidR="004747FD" w:rsidRDefault="004747FD" w:rsidP="00A04F49">
      <w:pPr>
        <w:pStyle w:val="BodyText"/>
      </w:pPr>
    </w:p>
    <w:p w14:paraId="5CBCC092" w14:textId="77777777" w:rsidR="00CC765E" w:rsidRDefault="00CC765E" w:rsidP="00CC765E">
      <w:pPr>
        <w:pStyle w:val="BodyText"/>
      </w:pPr>
      <w:r>
        <w:t xml:space="preserve">The other FFS point raised is: “FFS: For component 4), whether to separate DL priority and UL priority, and whether to separate DCI format 0_1/1_1 and DCI format 0_2/1_2.” </w:t>
      </w:r>
    </w:p>
    <w:p w14:paraId="5034872A" w14:textId="39ACE0A2" w:rsidR="00CC765E" w:rsidRDefault="00CC765E" w:rsidP="00CC765E">
      <w:pPr>
        <w:pStyle w:val="BodyText"/>
      </w:pPr>
      <w:r>
        <w:t xml:space="preserve">Component 4) of </w:t>
      </w:r>
      <w:r w:rsidR="006B5C56">
        <w:t>FG</w:t>
      </w:r>
      <w:r>
        <w:t xml:space="preserve"> 11-4 directly corresponds to the Working Assumption from RAN1#99, as copied below.</w:t>
      </w:r>
    </w:p>
    <w:p w14:paraId="0A324634" w14:textId="77777777" w:rsidR="00CC765E" w:rsidRPr="00C76A4F" w:rsidRDefault="00CC765E" w:rsidP="00CC765E">
      <w:pPr>
        <w:spacing w:after="0"/>
        <w:ind w:left="567"/>
        <w:rPr>
          <w:rFonts w:ascii="Times" w:hAnsi="Times"/>
          <w:highlight w:val="darkYellow"/>
          <w:lang w:eastAsia="x-none"/>
        </w:rPr>
      </w:pPr>
      <w:r w:rsidRPr="00C76A4F">
        <w:rPr>
          <w:rFonts w:ascii="Times" w:hAnsi="Times"/>
          <w:highlight w:val="darkYellow"/>
          <w:lang w:eastAsia="x-none"/>
        </w:rPr>
        <w:t>Working assumption:</w:t>
      </w:r>
    </w:p>
    <w:p w14:paraId="45BBFA9A" w14:textId="77777777" w:rsidR="00CC765E" w:rsidRPr="00C76A4F" w:rsidRDefault="00CC765E" w:rsidP="00CC765E">
      <w:pPr>
        <w:spacing w:after="0"/>
        <w:ind w:left="567"/>
        <w:rPr>
          <w:rFonts w:ascii="Times" w:eastAsia="SimSun" w:hAnsi="Times"/>
          <w:shd w:val="clear" w:color="auto" w:fill="FFFFFF"/>
          <w:lang w:eastAsia="zh-CN"/>
        </w:rPr>
      </w:pPr>
      <w:r w:rsidRPr="00C76A4F">
        <w:rPr>
          <w:rFonts w:ascii="Times" w:eastAsia="SimSun" w:hAnsi="Times"/>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5789CB3F" w14:textId="77777777" w:rsidR="00CC765E" w:rsidRPr="00C76A4F" w:rsidRDefault="00CC765E" w:rsidP="00CC765E">
      <w:pPr>
        <w:numPr>
          <w:ilvl w:val="0"/>
          <w:numId w:val="26"/>
        </w:numPr>
        <w:overflowPunct/>
        <w:autoSpaceDE/>
        <w:autoSpaceDN/>
        <w:adjustRightInd/>
        <w:spacing w:after="0"/>
        <w:ind w:left="1407"/>
        <w:jc w:val="both"/>
        <w:textAlignment w:val="auto"/>
        <w:rPr>
          <w:rFonts w:ascii="Times" w:eastAsia="SimSun" w:hAnsi="Times"/>
          <w:lang w:eastAsia="zh-CN"/>
        </w:rPr>
      </w:pPr>
      <w:r w:rsidRPr="00C76A4F">
        <w:rPr>
          <w:rFonts w:ascii="Times" w:eastAsia="SimSun" w:hAnsi="Times"/>
          <w:lang w:eastAsia="zh-CN"/>
        </w:rPr>
        <w:t>1-bit field in DCI can be configured as the PHY identification of the priority</w:t>
      </w:r>
    </w:p>
    <w:p w14:paraId="5C471FE7" w14:textId="77777777" w:rsidR="00CC765E" w:rsidRPr="00C76A4F" w:rsidRDefault="00CC765E" w:rsidP="00CC765E">
      <w:pPr>
        <w:numPr>
          <w:ilvl w:val="0"/>
          <w:numId w:val="26"/>
        </w:numPr>
        <w:overflowPunct/>
        <w:autoSpaceDE/>
        <w:autoSpaceDN/>
        <w:adjustRightInd/>
        <w:spacing w:after="0"/>
        <w:ind w:left="1407"/>
        <w:jc w:val="both"/>
        <w:textAlignment w:val="auto"/>
        <w:rPr>
          <w:rFonts w:ascii="Times" w:eastAsia="SimSun" w:hAnsi="Times"/>
          <w:lang w:eastAsia="zh-CN"/>
        </w:rPr>
      </w:pPr>
      <w:r w:rsidRPr="00C76A4F">
        <w:rPr>
          <w:rFonts w:ascii="Times" w:eastAsia="SimSun" w:hAnsi="Times"/>
          <w:lang w:eastAsia="zh-CN"/>
        </w:rPr>
        <w:t>No indication of different priorities by DCI formats 0_0/1_0</w:t>
      </w:r>
    </w:p>
    <w:p w14:paraId="2F9FCFF7" w14:textId="2FB47841" w:rsidR="00CC765E" w:rsidRDefault="00CC765E" w:rsidP="00CC765E">
      <w:pPr>
        <w:pStyle w:val="BodyText"/>
      </w:pPr>
    </w:p>
    <w:p w14:paraId="39761AC6" w14:textId="21DC54D9" w:rsidR="00CC765E" w:rsidRDefault="00CC765E" w:rsidP="00CC765E">
      <w:pPr>
        <w:pStyle w:val="BodyText"/>
      </w:pPr>
      <w:r>
        <w:lastRenderedPageBreak/>
        <w:t>There is no need to separate DL priority and UL priority</w:t>
      </w:r>
      <w:r w:rsidR="006B5C56">
        <w:t xml:space="preserve">. </w:t>
      </w:r>
      <w:r>
        <w:t xml:space="preserve">DCI format 0_x and 1_x </w:t>
      </w:r>
      <w:proofErr w:type="gramStart"/>
      <w:r>
        <w:t>are</w:t>
      </w:r>
      <w:proofErr w:type="gramEnd"/>
      <w:r>
        <w:t xml:space="preserve"> always paired, and they should be configured the same way with regard to priority.</w:t>
      </w:r>
    </w:p>
    <w:p w14:paraId="52BDF9EC" w14:textId="53122A86" w:rsidR="00CC765E" w:rsidRDefault="006B5C56" w:rsidP="00CC765E">
      <w:pPr>
        <w:pStyle w:val="BodyText"/>
      </w:pPr>
      <w:r>
        <w:t>It is appropriate</w:t>
      </w:r>
      <w:r w:rsidR="00CC765E">
        <w:t xml:space="preserve"> </w:t>
      </w:r>
      <w:r>
        <w:t xml:space="preserve">to introduce </w:t>
      </w:r>
      <w:r w:rsidR="00CC765E">
        <w:t>separation of DCI format 0_1/1_1 and DCI format 0_2/1_2, since DCI</w:t>
      </w:r>
      <w:r w:rsidR="004747FD">
        <w:t xml:space="preserve"> format</w:t>
      </w:r>
      <w:r w:rsidR="00CC765E">
        <w:t xml:space="preserve"> x_2 support depends on FG 11-1</w:t>
      </w:r>
      <w:r w:rsidR="004747FD">
        <w:t xml:space="preserve">, but DCI format x_1 support does not. Separation would allow a UE, which does not support DCI format x_2, to support FG 11-4. </w:t>
      </w:r>
    </w:p>
    <w:p w14:paraId="52629BEF" w14:textId="6B9E2303" w:rsidR="004747FD" w:rsidRDefault="004747FD" w:rsidP="00CC765E">
      <w:pPr>
        <w:pStyle w:val="BodyText"/>
      </w:pPr>
    </w:p>
    <w:p w14:paraId="1527396C" w14:textId="022D92CA" w:rsidR="004747FD" w:rsidRDefault="004747FD" w:rsidP="004747FD">
      <w:pPr>
        <w:pStyle w:val="Proposal"/>
      </w:pPr>
      <w:bookmarkStart w:id="15" w:name="_Toc37442499"/>
      <w:r>
        <w:t>For FG 11-4 component 4), there is no need to separate DL priority and UL priority.</w:t>
      </w:r>
      <w:bookmarkEnd w:id="15"/>
      <w:r>
        <w:t xml:space="preserve"> </w:t>
      </w:r>
    </w:p>
    <w:p w14:paraId="2964FC6B" w14:textId="3611B4AA" w:rsidR="004747FD" w:rsidRPr="00A04F49" w:rsidRDefault="004747FD" w:rsidP="004747FD">
      <w:pPr>
        <w:pStyle w:val="Proposal"/>
      </w:pPr>
      <w:bookmarkStart w:id="16" w:name="_Toc37442500"/>
      <w:r>
        <w:t>For FG 11-4 component 4), DCI format 0_1/1_1 and DCI format 0_2/1_2 should be separated, with different dependency of FG 11-1.</w:t>
      </w:r>
      <w:bookmarkEnd w:id="16"/>
    </w:p>
    <w:p w14:paraId="2CB20B93" w14:textId="77777777" w:rsidR="004747FD" w:rsidRDefault="004747FD" w:rsidP="00CC765E">
      <w:pPr>
        <w:pStyle w:val="BodyText"/>
      </w:pPr>
    </w:p>
    <w:p w14:paraId="20F9F18D" w14:textId="498EEA87" w:rsidR="00CC765E" w:rsidRDefault="00D974E9" w:rsidP="00CC765E">
      <w:pPr>
        <w:pStyle w:val="BodyText"/>
      </w:pPr>
      <w:r>
        <w:t xml:space="preserve">Regarding component 6) of FG 11-4, which is in bracket, there is no need to introduce supported </w:t>
      </w:r>
      <w:r w:rsidRPr="00D974E9">
        <w:t>maximum number of actual PUCCH transmissions for HARQ-ACK within a slot</w:t>
      </w:r>
      <w:r>
        <w:t>. The sub-slot configuration determines the maximum allowable number of PUCCH transmission for HARQ-ACK in a slot. Thus component 6) should not be included.</w:t>
      </w:r>
    </w:p>
    <w:p w14:paraId="0E71BF9E" w14:textId="77777777" w:rsidR="00D974E9" w:rsidRDefault="00D974E9" w:rsidP="00CC765E">
      <w:pPr>
        <w:pStyle w:val="BodyText"/>
      </w:pPr>
    </w:p>
    <w:p w14:paraId="3262B311" w14:textId="628BF3A5" w:rsidR="00D974E9" w:rsidRPr="00A04F49" w:rsidRDefault="00D974E9" w:rsidP="00D974E9">
      <w:pPr>
        <w:pStyle w:val="Proposal"/>
      </w:pPr>
      <w:bookmarkStart w:id="17" w:name="_Toc37442501"/>
      <w:r>
        <w:t>FG 11-4 component 6) (in bracket) should not be introduced.</w:t>
      </w:r>
      <w:bookmarkEnd w:id="17"/>
    </w:p>
    <w:p w14:paraId="229C2ED1" w14:textId="77777777" w:rsidR="00CC765E" w:rsidRDefault="00CC765E" w:rsidP="00A04F49">
      <w:pPr>
        <w:pStyle w:val="BodyText"/>
      </w:pPr>
    </w:p>
    <w:p w14:paraId="60B769FA" w14:textId="08C5D2F1" w:rsidR="00F63950" w:rsidRDefault="00230D18" w:rsidP="00F63950">
      <w:pPr>
        <w:pStyle w:val="Heading2"/>
      </w:pPr>
      <w:r>
        <w:t>2.3</w:t>
      </w:r>
      <w:r>
        <w:tab/>
      </w:r>
      <w:r w:rsidR="0053359F">
        <w:t>FG [11-4x]</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00"/>
        <w:gridCol w:w="6480"/>
      </w:tblGrid>
      <w:tr w:rsidR="0053359F" w:rsidRPr="0053359F" w14:paraId="07CA1BCD" w14:textId="77777777" w:rsidTr="0053359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7DCB8DD" w14:textId="77777777" w:rsidR="0053359F" w:rsidRPr="0053359F" w:rsidRDefault="0053359F" w:rsidP="0053359F">
            <w:pPr>
              <w:keepNext/>
              <w:keepLines/>
              <w:overflowPunct/>
              <w:autoSpaceDE/>
              <w:autoSpaceDN/>
              <w:adjustRightInd/>
              <w:spacing w:after="0"/>
              <w:textAlignment w:val="auto"/>
              <w:rPr>
                <w:rFonts w:ascii="Arial" w:eastAsia="SimSun" w:hAnsi="Arial"/>
                <w:sz w:val="18"/>
                <w:lang w:eastAsia="zh-CN"/>
              </w:rPr>
            </w:pPr>
            <w:r w:rsidRPr="0053359F">
              <w:rPr>
                <w:rFonts w:ascii="Arial" w:eastAsia="SimSun" w:hAnsi="Arial"/>
                <w:sz w:val="18"/>
                <w:lang w:eastAsia="zh-CN"/>
              </w:rPr>
              <w:t>[</w:t>
            </w:r>
            <w:r w:rsidRPr="0053359F">
              <w:rPr>
                <w:rFonts w:ascii="Arial" w:eastAsia="SimSun" w:hAnsi="Arial" w:hint="eastAsia"/>
                <w:sz w:val="18"/>
                <w:lang w:eastAsia="zh-CN"/>
              </w:rPr>
              <w:t>1</w:t>
            </w:r>
            <w:r w:rsidRPr="0053359F">
              <w:rPr>
                <w:rFonts w:ascii="Arial" w:eastAsia="SimSun" w:hAnsi="Arial"/>
                <w:sz w:val="18"/>
                <w:lang w:eastAsia="zh-CN"/>
              </w:rPr>
              <w:t>1-4x]</w:t>
            </w:r>
          </w:p>
          <w:p w14:paraId="49ACED6C" w14:textId="77777777" w:rsidR="0053359F" w:rsidRPr="0053359F" w:rsidRDefault="0053359F" w:rsidP="0053359F">
            <w:pPr>
              <w:keepNext/>
              <w:keepLines/>
              <w:overflowPunct/>
              <w:autoSpaceDE/>
              <w:autoSpaceDN/>
              <w:adjustRightInd/>
              <w:spacing w:after="0"/>
              <w:textAlignment w:val="auto"/>
              <w:rPr>
                <w:rFonts w:ascii="Arial" w:eastAsia="SimSun" w:hAnsi="Arial"/>
                <w:sz w:val="18"/>
                <w:lang w:eastAsia="zh-CN"/>
              </w:rPr>
            </w:pPr>
          </w:p>
          <w:p w14:paraId="0A1D1ABC" w14:textId="77777777" w:rsidR="0053359F" w:rsidRPr="0053359F" w:rsidRDefault="0053359F" w:rsidP="0053359F">
            <w:pPr>
              <w:keepNext/>
              <w:keepLines/>
              <w:overflowPunct/>
              <w:autoSpaceDE/>
              <w:autoSpaceDN/>
              <w:adjustRightInd/>
              <w:spacing w:after="0"/>
              <w:textAlignment w:val="auto"/>
              <w:rPr>
                <w:rFonts w:ascii="Arial" w:eastAsia="SimSun" w:hAnsi="Arial"/>
                <w:sz w:val="18"/>
                <w:lang w:eastAsia="zh-CN"/>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9975140" w14:textId="77777777" w:rsidR="0053359F" w:rsidRPr="0053359F" w:rsidDel="007E7D5A" w:rsidRDefault="0053359F" w:rsidP="0053359F">
            <w:pPr>
              <w:keepNext/>
              <w:keepLines/>
              <w:overflowPunct/>
              <w:autoSpaceDE/>
              <w:autoSpaceDN/>
              <w:adjustRightInd/>
              <w:spacing w:after="0"/>
              <w:textAlignment w:val="auto"/>
              <w:rPr>
                <w:rFonts w:ascii="Arial" w:eastAsia="SimSun" w:hAnsi="Arial"/>
                <w:sz w:val="18"/>
                <w:lang w:eastAsia="zh-CN"/>
              </w:rPr>
            </w:pPr>
            <w:r w:rsidRPr="0053359F">
              <w:rPr>
                <w:rFonts w:ascii="Arial" w:eastAsia="SimSun" w:hAnsi="Arial"/>
                <w:sz w:val="18"/>
                <w:lang w:eastAsia="zh-CN"/>
              </w:rPr>
              <w:t>[Two sub-</w:t>
            </w:r>
            <w:proofErr w:type="gramStart"/>
            <w:r w:rsidRPr="0053359F">
              <w:rPr>
                <w:rFonts w:ascii="Arial" w:eastAsia="SimSun" w:hAnsi="Arial"/>
                <w:sz w:val="18"/>
                <w:lang w:eastAsia="zh-CN"/>
              </w:rPr>
              <w:t>slot</w:t>
            </w:r>
            <w:proofErr w:type="gramEnd"/>
            <w:r w:rsidRPr="0053359F">
              <w:rPr>
                <w:rFonts w:ascii="Arial" w:eastAsia="SimSun" w:hAnsi="Arial"/>
                <w:sz w:val="18"/>
                <w:lang w:eastAsia="zh-CN"/>
              </w:rPr>
              <w:t xml:space="preserve"> based HARQ-ACK codebooks simultaneously constructed for supporting PDSCH reception with different priorities at a UE</w:t>
            </w:r>
            <w:r w:rsidRPr="0053359F">
              <w:rPr>
                <w:rFonts w:ascii="Arial" w:eastAsia="SimSun" w:hAnsi="Arial"/>
                <w:sz w:val="18"/>
              </w:rPr>
              <w: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D14CB81" w14:textId="77777777" w:rsidR="0053359F" w:rsidRPr="0053359F" w:rsidRDefault="0053359F" w:rsidP="0053359F">
            <w:pPr>
              <w:keepNext/>
              <w:keepLines/>
              <w:overflowPunct/>
              <w:autoSpaceDE/>
              <w:autoSpaceDN/>
              <w:adjustRightInd/>
              <w:spacing w:after="0"/>
              <w:textAlignment w:val="auto"/>
              <w:rPr>
                <w:rFonts w:ascii="Arial" w:eastAsia="SimSun" w:hAnsi="Arial"/>
                <w:sz w:val="18"/>
              </w:rPr>
            </w:pPr>
            <w:r w:rsidRPr="0053359F">
              <w:rPr>
                <w:rFonts w:ascii="Arial" w:eastAsia="SimSun" w:hAnsi="Arial"/>
                <w:sz w:val="18"/>
              </w:rPr>
              <w:t xml:space="preserve">1) Supports </w:t>
            </w:r>
            <w:r w:rsidRPr="0053359F">
              <w:rPr>
                <w:rFonts w:ascii="Arial" w:eastAsia="SimSun" w:hAnsi="Arial" w:hint="eastAsia"/>
                <w:sz w:val="18"/>
              </w:rPr>
              <w:t>two</w:t>
            </w:r>
            <w:r w:rsidRPr="0053359F">
              <w:rPr>
                <w:rFonts w:ascii="Arial" w:eastAsia="SimSun" w:hAnsi="Arial"/>
                <w:sz w:val="18"/>
              </w:rPr>
              <w:t xml:space="preserve"> sub-</w:t>
            </w:r>
            <w:proofErr w:type="gramStart"/>
            <w:r w:rsidRPr="0053359F">
              <w:rPr>
                <w:rFonts w:ascii="Arial" w:eastAsia="SimSun" w:hAnsi="Arial"/>
                <w:sz w:val="18"/>
              </w:rPr>
              <w:t>slot</w:t>
            </w:r>
            <w:proofErr w:type="gramEnd"/>
            <w:r w:rsidRPr="0053359F">
              <w:rPr>
                <w:rFonts w:ascii="Arial" w:eastAsia="SimSun" w:hAnsi="Arial"/>
                <w:sz w:val="18"/>
              </w:rPr>
              <w:t xml:space="preserve"> based </w:t>
            </w:r>
            <w:r w:rsidRPr="0053359F">
              <w:rPr>
                <w:rFonts w:ascii="Arial" w:eastAsia="SimSun" w:hAnsi="Arial" w:hint="eastAsia"/>
                <w:sz w:val="18"/>
              </w:rPr>
              <w:t>HARQ-ACK codebooks with different priorities to be simultaneously constructed</w:t>
            </w:r>
            <w:r w:rsidRPr="0053359F">
              <w:rPr>
                <w:rFonts w:ascii="Arial" w:eastAsia="SimSun" w:hAnsi="Arial"/>
                <w:sz w:val="18"/>
              </w:rPr>
              <w:t>.</w:t>
            </w:r>
          </w:p>
          <w:p w14:paraId="01D00A1B" w14:textId="77777777" w:rsidR="0053359F" w:rsidRPr="0053359F" w:rsidRDefault="0053359F" w:rsidP="0053359F">
            <w:pPr>
              <w:keepNext/>
              <w:keepLines/>
              <w:overflowPunct/>
              <w:autoSpaceDE/>
              <w:autoSpaceDN/>
              <w:adjustRightInd/>
              <w:spacing w:after="0"/>
              <w:textAlignment w:val="auto"/>
              <w:rPr>
                <w:rFonts w:ascii="Arial" w:eastAsia="SimSun" w:hAnsi="Arial"/>
                <w:sz w:val="18"/>
              </w:rPr>
            </w:pPr>
            <w:r w:rsidRPr="0053359F">
              <w:rPr>
                <w:rFonts w:ascii="Arial" w:eastAsia="SimSun" w:hAnsi="Arial"/>
                <w:sz w:val="18"/>
              </w:rPr>
              <w:t>2) Supports separate PUCCH configuration for different HARQ-ACK codebooks</w:t>
            </w:r>
          </w:p>
          <w:p w14:paraId="2520530D" w14:textId="77777777" w:rsidR="0053359F" w:rsidRPr="0053359F" w:rsidRDefault="0053359F" w:rsidP="0053359F">
            <w:pPr>
              <w:keepNext/>
              <w:keepLines/>
              <w:overflowPunct/>
              <w:autoSpaceDE/>
              <w:autoSpaceDN/>
              <w:adjustRightInd/>
              <w:spacing w:after="0"/>
              <w:textAlignment w:val="auto"/>
              <w:rPr>
                <w:rFonts w:ascii="Arial" w:eastAsia="MS Mincho" w:hAnsi="Arial"/>
                <w:sz w:val="18"/>
              </w:rPr>
            </w:pPr>
            <w:r w:rsidRPr="0053359F">
              <w:rPr>
                <w:rFonts w:ascii="Arial" w:eastAsia="SimSun" w:hAnsi="Arial"/>
                <w:sz w:val="18"/>
              </w:rPr>
              <w:t xml:space="preserve">3) Supports </w:t>
            </w:r>
            <w:r w:rsidRPr="0053359F">
              <w:rPr>
                <w:rFonts w:ascii="Arial" w:eastAsia="SimSun" w:hAnsi="Arial" w:hint="eastAsia"/>
                <w:sz w:val="18"/>
              </w:rPr>
              <w:t>2-level priority of HARQ-ACK for dynamically scheduled PDSCH and SPS PDSCH</w:t>
            </w:r>
            <w:r w:rsidRPr="0053359F">
              <w:rPr>
                <w:rFonts w:ascii="Arial" w:eastAsia="SimSun" w:hAnsi="Arial"/>
                <w:sz w:val="18"/>
              </w:rPr>
              <w:t>.</w:t>
            </w:r>
          </w:p>
          <w:p w14:paraId="641ED7C4" w14:textId="77777777" w:rsidR="0053359F" w:rsidRPr="0053359F" w:rsidRDefault="0053359F" w:rsidP="0053359F">
            <w:pPr>
              <w:keepNext/>
              <w:keepLines/>
              <w:overflowPunct/>
              <w:autoSpaceDE/>
              <w:autoSpaceDN/>
              <w:adjustRightInd/>
              <w:spacing w:after="0"/>
              <w:textAlignment w:val="auto"/>
              <w:rPr>
                <w:rFonts w:ascii="Arial" w:eastAsia="SimSun" w:hAnsi="Arial"/>
                <w:sz w:val="18"/>
              </w:rPr>
            </w:pPr>
            <w:r w:rsidRPr="0053359F">
              <w:rPr>
                <w:rFonts w:ascii="Arial" w:eastAsia="SimSun" w:hAnsi="Arial"/>
                <w:sz w:val="18"/>
              </w:rPr>
              <w:t xml:space="preserve">4) Supports a DCI format </w:t>
            </w:r>
            <w:r w:rsidRPr="0053359F">
              <w:rPr>
                <w:rFonts w:ascii="Arial" w:eastAsia="SimSun" w:hAnsi="Arial"/>
                <w:iCs/>
                <w:sz w:val="18"/>
                <w:lang w:eastAsia="zh-CN"/>
              </w:rPr>
              <w:t>(from the formats 0_1/1_1/0_2/1_2)</w:t>
            </w:r>
            <w:r w:rsidRPr="0053359F">
              <w:rPr>
                <w:rFonts w:ascii="Arial" w:eastAsia="SimSun" w:hAnsi="Arial"/>
                <w:sz w:val="18"/>
              </w:rPr>
              <w:t xml:space="preserve"> scheduling </w:t>
            </w:r>
            <w:r w:rsidRPr="0053359F">
              <w:rPr>
                <w:rFonts w:ascii="Arial" w:eastAsia="SimSun" w:hAnsi="Arial"/>
                <w:sz w:val="18"/>
                <w:shd w:val="clear" w:color="auto" w:fill="FFFFFF"/>
                <w:lang w:eastAsia="zh-CN"/>
              </w:rPr>
              <w:t xml:space="preserve">PDSCH with different HARQ-ACK priorities or PUSCH with different priorities when only DCI format 0_1/1_1 is configured or only DCI format 0_2/1_2 is configured in USS per BWP </w:t>
            </w:r>
            <w:r w:rsidRPr="0053359F">
              <w:rPr>
                <w:rFonts w:ascii="Arial" w:eastAsia="SimSun" w:hAnsi="Arial"/>
                <w:sz w:val="18"/>
              </w:rPr>
              <w:t xml:space="preserve"> </w:t>
            </w:r>
          </w:p>
          <w:p w14:paraId="0E4853F8" w14:textId="77777777" w:rsidR="0053359F" w:rsidRPr="0053359F" w:rsidRDefault="0053359F" w:rsidP="0053359F">
            <w:pPr>
              <w:keepNext/>
              <w:keepLines/>
              <w:overflowPunct/>
              <w:autoSpaceDE/>
              <w:autoSpaceDN/>
              <w:adjustRightInd/>
              <w:spacing w:after="0"/>
              <w:textAlignment w:val="auto"/>
              <w:rPr>
                <w:rFonts w:ascii="Arial" w:eastAsia="SimSun" w:hAnsi="Arial"/>
                <w:sz w:val="18"/>
              </w:rPr>
            </w:pPr>
            <w:r w:rsidRPr="0053359F">
              <w:rPr>
                <w:rFonts w:ascii="Arial" w:eastAsia="SimSun" w:hAnsi="Arial"/>
                <w:sz w:val="18"/>
              </w:rPr>
              <w:t xml:space="preserve">5) Supports separate configuration of parameters </w:t>
            </w:r>
            <w:r w:rsidRPr="0053359F">
              <w:rPr>
                <w:rFonts w:ascii="Arial" w:eastAsia="SimSun" w:hAnsi="Arial"/>
                <w:i/>
                <w:sz w:val="18"/>
              </w:rPr>
              <w:t>PDSCH-HARQ-ACK-Codebook</w:t>
            </w:r>
            <w:r w:rsidRPr="0053359F">
              <w:rPr>
                <w:rFonts w:ascii="Arial" w:eastAsia="SimSun" w:hAnsi="Arial"/>
                <w:sz w:val="18"/>
              </w:rPr>
              <w:t xml:space="preserve">, </w:t>
            </w:r>
            <w:r w:rsidRPr="0053359F">
              <w:rPr>
                <w:rFonts w:ascii="Arial" w:eastAsia="SimSun" w:hAnsi="Arial"/>
                <w:i/>
                <w:sz w:val="18"/>
              </w:rPr>
              <w:t>UCI-</w:t>
            </w:r>
            <w:proofErr w:type="spellStart"/>
            <w:r w:rsidRPr="0053359F">
              <w:rPr>
                <w:rFonts w:ascii="Arial" w:eastAsia="SimSun" w:hAnsi="Arial"/>
                <w:i/>
                <w:sz w:val="18"/>
              </w:rPr>
              <w:t>OnPUSCH</w:t>
            </w:r>
            <w:proofErr w:type="spellEnd"/>
            <w:r w:rsidRPr="0053359F">
              <w:rPr>
                <w:rFonts w:ascii="Arial" w:eastAsia="SimSun" w:hAnsi="Arial"/>
                <w:sz w:val="18"/>
              </w:rPr>
              <w:t xml:space="preserve"> and ‘</w:t>
            </w:r>
            <w:proofErr w:type="spellStart"/>
            <w:r w:rsidRPr="0053359F">
              <w:rPr>
                <w:rFonts w:ascii="Arial" w:eastAsia="SimSun" w:hAnsi="Arial"/>
                <w:i/>
                <w:sz w:val="18"/>
              </w:rPr>
              <w:t>codeBlockGroupTransmission</w:t>
            </w:r>
            <w:proofErr w:type="spellEnd"/>
            <w:r w:rsidRPr="0053359F">
              <w:rPr>
                <w:rFonts w:ascii="Arial" w:eastAsia="SimSun" w:hAnsi="Arial"/>
                <w:i/>
                <w:sz w:val="18"/>
              </w:rPr>
              <w:t>”</w:t>
            </w:r>
            <w:r w:rsidRPr="0053359F">
              <w:rPr>
                <w:rFonts w:ascii="Arial" w:eastAsia="SimSun" w:hAnsi="Arial"/>
                <w:sz w:val="18"/>
              </w:rPr>
              <w:t xml:space="preserve"> for different HARQ-ACK codebooks.</w:t>
            </w:r>
          </w:p>
        </w:tc>
      </w:tr>
    </w:tbl>
    <w:p w14:paraId="283A23B8" w14:textId="59791E36" w:rsidR="0053359F" w:rsidRDefault="0053359F" w:rsidP="0053359F"/>
    <w:p w14:paraId="1688EBB1" w14:textId="45DE1EF8" w:rsidR="0053359F" w:rsidRDefault="00FF3DB0" w:rsidP="00DF22E0">
      <w:pPr>
        <w:pStyle w:val="BodyText"/>
      </w:pPr>
      <w:r>
        <w:t>FG [11-4x] is the same as FG 11-4 except the issue of how many sub-</w:t>
      </w:r>
      <w:proofErr w:type="gramStart"/>
      <w:r>
        <w:t>slot</w:t>
      </w:r>
      <w:proofErr w:type="gramEnd"/>
      <w:r>
        <w:t xml:space="preserve"> based HARQ-ACK codebooks can be simultaneously constructed. This issue </w:t>
      </w:r>
      <w:r w:rsidR="00EF56B5">
        <w:t>is related to the agreement from RAN1#98bis below.</w:t>
      </w:r>
    </w:p>
    <w:p w14:paraId="4AB1FCF6" w14:textId="77777777" w:rsidR="00EF56B5" w:rsidRPr="009520DB" w:rsidRDefault="00EF56B5" w:rsidP="00EF56B5">
      <w:pPr>
        <w:spacing w:afterLines="50" w:after="120"/>
        <w:ind w:left="567"/>
        <w:jc w:val="both"/>
        <w:rPr>
          <w:rFonts w:ascii="Times" w:eastAsia="SimSun" w:hAnsi="Times"/>
          <w:b/>
          <w:bCs/>
          <w:lang w:eastAsia="zh-CN"/>
        </w:rPr>
      </w:pPr>
      <w:r w:rsidRPr="009520DB">
        <w:rPr>
          <w:rFonts w:ascii="Times" w:eastAsia="SimSun" w:hAnsi="Times"/>
          <w:highlight w:val="green"/>
          <w:lang w:eastAsia="zh-CN"/>
        </w:rPr>
        <w:t>Agreements</w:t>
      </w:r>
      <w:r w:rsidRPr="009520DB">
        <w:rPr>
          <w:rFonts w:ascii="Times" w:eastAsia="SimSun" w:hAnsi="Times"/>
          <w:b/>
          <w:bCs/>
          <w:lang w:eastAsia="zh-CN"/>
        </w:rPr>
        <w:t>:</w:t>
      </w:r>
    </w:p>
    <w:p w14:paraId="29424801" w14:textId="77777777" w:rsidR="00EF56B5" w:rsidRPr="009520DB" w:rsidRDefault="00EF56B5" w:rsidP="00EF56B5">
      <w:pPr>
        <w:spacing w:after="0"/>
        <w:ind w:left="567"/>
        <w:jc w:val="both"/>
        <w:rPr>
          <w:rFonts w:ascii="Times" w:eastAsia="SimSun" w:hAnsi="Times"/>
          <w:shd w:val="clear" w:color="auto" w:fill="FFFFFF"/>
          <w:lang w:eastAsia="zh-CN"/>
        </w:rPr>
      </w:pPr>
      <w:r w:rsidRPr="009520DB">
        <w:rPr>
          <w:rFonts w:ascii="Times" w:eastAsia="SimSun" w:hAnsi="Times" w:hint="eastAsia"/>
          <w:lang w:eastAsia="zh-CN"/>
        </w:rPr>
        <w:t xml:space="preserve">R16 supports </w:t>
      </w:r>
      <w:r w:rsidRPr="009520DB">
        <w:rPr>
          <w:rFonts w:ascii="Times" w:eastAsia="SimSun" w:hAnsi="Times" w:hint="eastAsia"/>
          <w:shd w:val="clear" w:color="auto" w:fill="FFFFFF"/>
          <w:lang w:eastAsia="zh-CN"/>
        </w:rPr>
        <w:t xml:space="preserve">up to two </w:t>
      </w:r>
      <w:r w:rsidRPr="009520DB">
        <w:rPr>
          <w:rFonts w:ascii="Times" w:eastAsia="SimSun" w:hAnsi="Times" w:hint="eastAsia"/>
          <w:lang w:eastAsia="zh-CN"/>
        </w:rPr>
        <w:t xml:space="preserve">HARQ-ACK codebooks with different priorities to be simultaneously constructed, including: </w:t>
      </w:r>
    </w:p>
    <w:p w14:paraId="6ED111A5" w14:textId="77777777" w:rsidR="00EF56B5" w:rsidRPr="009520DB" w:rsidRDefault="00EF56B5" w:rsidP="00EF56B5">
      <w:pPr>
        <w:numPr>
          <w:ilvl w:val="0"/>
          <w:numId w:val="28"/>
        </w:numPr>
        <w:overflowPunct/>
        <w:autoSpaceDE/>
        <w:autoSpaceDN/>
        <w:adjustRightInd/>
        <w:spacing w:after="0"/>
        <w:ind w:left="1287"/>
        <w:jc w:val="both"/>
        <w:textAlignment w:val="auto"/>
        <w:rPr>
          <w:rFonts w:ascii="Times" w:eastAsia="SimSun" w:hAnsi="Times"/>
          <w:shd w:val="clear" w:color="auto" w:fill="FFFFFF"/>
          <w:lang w:eastAsia="zh-CN"/>
        </w:rPr>
      </w:pPr>
      <w:r w:rsidRPr="009520DB">
        <w:rPr>
          <w:rFonts w:ascii="Times" w:eastAsia="SimSun" w:hAnsi="Times" w:hint="eastAsia"/>
          <w:shd w:val="clear" w:color="auto" w:fill="FFFFFF"/>
          <w:lang w:eastAsia="zh-CN"/>
        </w:rPr>
        <w:t>One is slot-</w:t>
      </w:r>
      <w:proofErr w:type="gramStart"/>
      <w:r w:rsidRPr="009520DB">
        <w:rPr>
          <w:rFonts w:ascii="Times" w:eastAsia="SimSun" w:hAnsi="Times" w:hint="eastAsia"/>
          <w:shd w:val="clear" w:color="auto" w:fill="FFFFFF"/>
          <w:lang w:eastAsia="zh-CN"/>
        </w:rPr>
        <w:t>based</w:t>
      </w:r>
      <w:proofErr w:type="gramEnd"/>
      <w:r w:rsidRPr="009520DB">
        <w:rPr>
          <w:rFonts w:ascii="Times" w:eastAsia="SimSun" w:hAnsi="Times" w:hint="eastAsia"/>
          <w:shd w:val="clear" w:color="auto" w:fill="FFFFFF"/>
          <w:lang w:eastAsia="zh-CN"/>
        </w:rPr>
        <w:t xml:space="preserve"> and one is sub-slot-based.</w:t>
      </w:r>
    </w:p>
    <w:p w14:paraId="659EEB7D" w14:textId="77777777" w:rsidR="00EF56B5" w:rsidRPr="009520DB" w:rsidRDefault="00EF56B5" w:rsidP="00EF56B5">
      <w:pPr>
        <w:numPr>
          <w:ilvl w:val="0"/>
          <w:numId w:val="28"/>
        </w:numPr>
        <w:overflowPunct/>
        <w:autoSpaceDE/>
        <w:autoSpaceDN/>
        <w:adjustRightInd/>
        <w:spacing w:after="0"/>
        <w:ind w:left="1287"/>
        <w:jc w:val="both"/>
        <w:textAlignment w:val="auto"/>
        <w:rPr>
          <w:rFonts w:ascii="Times" w:eastAsia="SimSun" w:hAnsi="Times"/>
          <w:shd w:val="clear" w:color="auto" w:fill="FFFFFF"/>
          <w:lang w:eastAsia="zh-CN"/>
        </w:rPr>
      </w:pPr>
      <w:r w:rsidRPr="009520DB">
        <w:rPr>
          <w:rFonts w:ascii="Times" w:eastAsia="SimSun" w:hAnsi="Times" w:hint="eastAsia"/>
          <w:shd w:val="clear" w:color="auto" w:fill="FFFFFF"/>
          <w:lang w:eastAsia="zh-CN"/>
        </w:rPr>
        <w:t>Both are slot-based.</w:t>
      </w:r>
    </w:p>
    <w:p w14:paraId="1CBD00B1" w14:textId="77777777" w:rsidR="00EF56B5" w:rsidRPr="009520DB" w:rsidRDefault="00EF56B5" w:rsidP="00EF56B5">
      <w:pPr>
        <w:numPr>
          <w:ilvl w:val="0"/>
          <w:numId w:val="28"/>
        </w:numPr>
        <w:overflowPunct/>
        <w:autoSpaceDE/>
        <w:autoSpaceDN/>
        <w:adjustRightInd/>
        <w:spacing w:after="0"/>
        <w:ind w:left="1287"/>
        <w:jc w:val="both"/>
        <w:textAlignment w:val="auto"/>
        <w:rPr>
          <w:rFonts w:ascii="Times" w:eastAsia="SimSun" w:hAnsi="Times"/>
          <w:shd w:val="clear" w:color="auto" w:fill="FFFFFF"/>
          <w:lang w:eastAsia="zh-CN"/>
        </w:rPr>
      </w:pPr>
      <w:r w:rsidRPr="009520DB">
        <w:rPr>
          <w:rFonts w:ascii="Times" w:eastAsia="SimSun" w:hAnsi="Times" w:hint="eastAsia"/>
          <w:shd w:val="clear" w:color="auto" w:fill="FFFFFF"/>
          <w:lang w:eastAsia="zh-CN"/>
        </w:rPr>
        <w:t>Both are sub-slot-based</w:t>
      </w:r>
    </w:p>
    <w:p w14:paraId="56F3312A" w14:textId="77777777" w:rsidR="00EF56B5" w:rsidRDefault="00EF56B5" w:rsidP="0053359F"/>
    <w:p w14:paraId="355343DA" w14:textId="5D713629" w:rsidR="00B87F10" w:rsidRDefault="00B87F10" w:rsidP="00DF22E0">
      <w:pPr>
        <w:pStyle w:val="BodyText"/>
      </w:pPr>
      <w:proofErr w:type="gramStart"/>
      <w:r>
        <w:t>As long as</w:t>
      </w:r>
      <w:proofErr w:type="gramEnd"/>
      <w:r>
        <w:t xml:space="preserve"> one HARQ-ACK codebook can be sub-slot based, it needs the prerequisite feature group of 11-3. There is no need to make two FG, one for “up to one sub-slot based”, the other for “two sub-</w:t>
      </w:r>
      <w:proofErr w:type="gramStart"/>
      <w:r>
        <w:t>slot</w:t>
      </w:r>
      <w:proofErr w:type="gramEnd"/>
      <w:r>
        <w:t xml:space="preserve"> based”. Thus, FG [11-4x] should not be introduced. Rather, FG 11-4 should be revised as follows:</w:t>
      </w:r>
    </w:p>
    <w:p w14:paraId="03E92AD4" w14:textId="7A6FD6C3" w:rsidR="00B87F10" w:rsidRPr="00B87F10" w:rsidRDefault="00B87F10" w:rsidP="00B87F10">
      <w:pPr>
        <w:pStyle w:val="ListParagraph"/>
        <w:numPr>
          <w:ilvl w:val="0"/>
          <w:numId w:val="29"/>
        </w:numPr>
      </w:pPr>
      <w:r>
        <w:rPr>
          <w:lang w:val="en-US"/>
        </w:rPr>
        <w:t>FG 11-4 description is updated to: “</w:t>
      </w:r>
      <w:r>
        <w:rPr>
          <w:rFonts w:eastAsia="SimSun"/>
          <w:lang w:eastAsia="zh-CN"/>
        </w:rPr>
        <w:t>T</w:t>
      </w:r>
      <w:r w:rsidRPr="0032705D">
        <w:rPr>
          <w:rFonts w:eastAsia="SimSun"/>
          <w:lang w:eastAsia="zh-CN"/>
        </w:rPr>
        <w:t>wo HARQ-ACK codebooks</w:t>
      </w:r>
      <w:r>
        <w:rPr>
          <w:rFonts w:eastAsia="SimSun"/>
          <w:lang w:eastAsia="zh-CN"/>
        </w:rPr>
        <w:t xml:space="preserve"> </w:t>
      </w:r>
      <w:r w:rsidRPr="00B87F10">
        <w:rPr>
          <w:strike/>
          <w:color w:val="FF0000"/>
          <w:lang w:eastAsia="ja-JP"/>
        </w:rPr>
        <w:t>[with up to one</w:t>
      </w:r>
      <w:r w:rsidRPr="00B87F10">
        <w:rPr>
          <w:strike/>
          <w:color w:val="FF0000"/>
          <w:lang w:val="en-US" w:eastAsia="ja-JP"/>
        </w:rPr>
        <w:t xml:space="preserve"> two</w:t>
      </w:r>
      <w:r w:rsidRPr="00B87F10">
        <w:rPr>
          <w:strike/>
          <w:color w:val="FF0000"/>
          <w:lang w:eastAsia="ja-JP"/>
        </w:rPr>
        <w:t xml:space="preserve"> sub-</w:t>
      </w:r>
      <w:proofErr w:type="gramStart"/>
      <w:r w:rsidRPr="00B87F10">
        <w:rPr>
          <w:strike/>
          <w:color w:val="FF0000"/>
          <w:lang w:eastAsia="ja-JP"/>
        </w:rPr>
        <w:t>slot</w:t>
      </w:r>
      <w:proofErr w:type="gramEnd"/>
      <w:r w:rsidRPr="00B87F10">
        <w:rPr>
          <w:strike/>
          <w:color w:val="FF0000"/>
          <w:lang w:eastAsia="ja-JP"/>
        </w:rPr>
        <w:t xml:space="preserve"> based HARQ-ACK codebook]</w:t>
      </w:r>
      <w:r w:rsidRPr="0032705D">
        <w:rPr>
          <w:rFonts w:eastAsia="SimSun"/>
          <w:lang w:eastAsia="zh-CN"/>
        </w:rPr>
        <w:t xml:space="preserve"> simultaneously constructed for supporting</w:t>
      </w:r>
      <w:r>
        <w:rPr>
          <w:rFonts w:eastAsia="SimSun"/>
          <w:lang w:eastAsia="zh-CN"/>
        </w:rPr>
        <w:t xml:space="preserve"> PDSCH reception with</w:t>
      </w:r>
      <w:r w:rsidRPr="0032705D">
        <w:rPr>
          <w:rFonts w:eastAsia="SimSun"/>
          <w:lang w:eastAsia="zh-CN"/>
        </w:rPr>
        <w:t xml:space="preserve"> different</w:t>
      </w:r>
      <w:r>
        <w:rPr>
          <w:rFonts w:eastAsia="SimSun"/>
          <w:lang w:eastAsia="zh-CN"/>
        </w:rPr>
        <w:t xml:space="preserve"> priorities at</w:t>
      </w:r>
      <w:r w:rsidRPr="0032705D">
        <w:rPr>
          <w:rFonts w:eastAsia="SimSun"/>
          <w:lang w:eastAsia="zh-CN"/>
        </w:rPr>
        <w:t xml:space="preserve"> a UE</w:t>
      </w:r>
      <w:r>
        <w:rPr>
          <w:lang w:val="en-US"/>
        </w:rPr>
        <w:t>”</w:t>
      </w:r>
    </w:p>
    <w:p w14:paraId="08461A4D" w14:textId="77777777" w:rsidR="00B87F10" w:rsidRDefault="00B87F10" w:rsidP="00B87F10">
      <w:pPr>
        <w:pStyle w:val="ListParagraph"/>
        <w:numPr>
          <w:ilvl w:val="0"/>
          <w:numId w:val="29"/>
        </w:numPr>
      </w:pPr>
      <w:r>
        <w:rPr>
          <w:lang w:val="en-US"/>
        </w:rPr>
        <w:t xml:space="preserve">FG 11-4 has </w:t>
      </w:r>
      <w:r>
        <w:t>prerequisite feature group of 11-3.</w:t>
      </w:r>
      <w:r>
        <w:br/>
      </w:r>
    </w:p>
    <w:p w14:paraId="0E58B082" w14:textId="77777777" w:rsidR="00B87F10" w:rsidRDefault="00B87F10" w:rsidP="00B87F10"/>
    <w:p w14:paraId="7B7829CA" w14:textId="31822B98" w:rsidR="00B87F10" w:rsidRPr="00A04F49" w:rsidRDefault="00B87F10" w:rsidP="00B87F10">
      <w:pPr>
        <w:pStyle w:val="Proposal"/>
      </w:pPr>
      <w:bookmarkStart w:id="18" w:name="_Toc37442502"/>
      <w:r>
        <w:lastRenderedPageBreak/>
        <w:t>FG [11-4x] is not introduced. FG 11-4 is revised to include the support of up to two sub-</w:t>
      </w:r>
      <w:proofErr w:type="gramStart"/>
      <w:r>
        <w:t>slot</w:t>
      </w:r>
      <w:proofErr w:type="gramEnd"/>
      <w:r>
        <w:t xml:space="preserve"> based HARQ-ACK codebooks.</w:t>
      </w:r>
      <w:bookmarkEnd w:id="18"/>
    </w:p>
    <w:p w14:paraId="65E5C737" w14:textId="666A129B" w:rsidR="0053359F" w:rsidRPr="0053359F" w:rsidRDefault="00B87F10" w:rsidP="00B87F10">
      <w:r>
        <w:br/>
      </w:r>
    </w:p>
    <w:p w14:paraId="24E20929" w14:textId="77777777" w:rsidR="00857046" w:rsidRDefault="00230D18" w:rsidP="00CE0424">
      <w:pPr>
        <w:pStyle w:val="Heading2"/>
      </w:pPr>
      <w:r>
        <w:t>2.4</w:t>
      </w:r>
      <w:r>
        <w:tab/>
      </w:r>
      <w:r w:rsidR="00857046">
        <w:t>FG [11-7a]</w:t>
      </w:r>
    </w:p>
    <w:p w14:paraId="10952EA1" w14:textId="77777777" w:rsidR="00857046" w:rsidRDefault="00857046" w:rsidP="00230D18">
      <w:pPr>
        <w:pStyle w:val="BodyText"/>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00"/>
        <w:gridCol w:w="6570"/>
      </w:tblGrid>
      <w:tr w:rsidR="00857046" w:rsidRPr="00857046" w14:paraId="15B40DC0" w14:textId="77777777" w:rsidTr="00857046">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3969FF" w14:textId="77777777" w:rsidR="00857046" w:rsidRPr="00857046" w:rsidRDefault="00857046" w:rsidP="00857046">
            <w:pPr>
              <w:keepNext/>
              <w:keepLines/>
              <w:overflowPunct/>
              <w:autoSpaceDE/>
              <w:autoSpaceDN/>
              <w:adjustRightInd/>
              <w:spacing w:after="0"/>
              <w:textAlignment w:val="auto"/>
              <w:rPr>
                <w:rFonts w:ascii="Arial" w:eastAsia="SimSun" w:hAnsi="Arial"/>
                <w:sz w:val="18"/>
                <w:lang w:eastAsia="zh-CN"/>
              </w:rPr>
            </w:pPr>
            <w:r w:rsidRPr="00857046">
              <w:rPr>
                <w:rFonts w:ascii="Arial" w:eastAsia="SimSun" w:hAnsi="Arial"/>
                <w:sz w:val="18"/>
                <w:lang w:eastAsia="zh-CN"/>
              </w:rPr>
              <w:t>[</w:t>
            </w:r>
            <w:r w:rsidRPr="00857046">
              <w:rPr>
                <w:rFonts w:ascii="Arial" w:eastAsia="SimSun" w:hAnsi="Arial" w:hint="eastAsia"/>
                <w:sz w:val="18"/>
                <w:lang w:eastAsia="zh-CN"/>
              </w:rPr>
              <w:t>1</w:t>
            </w:r>
            <w:r w:rsidRPr="00857046">
              <w:rPr>
                <w:rFonts w:ascii="Arial" w:eastAsia="SimSun" w:hAnsi="Arial"/>
                <w:sz w:val="18"/>
                <w:lang w:eastAsia="zh-CN"/>
              </w:rPr>
              <w:t>1</w:t>
            </w:r>
            <w:r w:rsidRPr="00857046">
              <w:rPr>
                <w:rFonts w:ascii="Arial" w:eastAsia="SimSun" w:hAnsi="Arial" w:hint="eastAsia"/>
                <w:sz w:val="18"/>
                <w:lang w:eastAsia="zh-CN"/>
              </w:rPr>
              <w:t>-</w:t>
            </w:r>
            <w:r w:rsidRPr="00857046">
              <w:rPr>
                <w:rFonts w:ascii="Arial" w:eastAsia="SimSun" w:hAnsi="Arial"/>
                <w:sz w:val="18"/>
                <w:lang w:eastAsia="zh-CN"/>
              </w:rPr>
              <w:t>7a]</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7A42657" w14:textId="77777777" w:rsidR="00857046" w:rsidRPr="00857046" w:rsidRDefault="00857046" w:rsidP="00857046">
            <w:pPr>
              <w:keepNext/>
              <w:keepLines/>
              <w:overflowPunct/>
              <w:autoSpaceDE/>
              <w:autoSpaceDN/>
              <w:adjustRightInd/>
              <w:spacing w:after="0"/>
              <w:textAlignment w:val="auto"/>
              <w:rPr>
                <w:rFonts w:ascii="Arial" w:eastAsia="SimSun" w:hAnsi="Arial"/>
                <w:sz w:val="18"/>
                <w:lang w:eastAsia="zh-CN"/>
              </w:rPr>
            </w:pPr>
            <w:r w:rsidRPr="00857046">
              <w:rPr>
                <w:rFonts w:ascii="Arial" w:eastAsia="SimSun" w:hAnsi="Arial" w:cs="Arial"/>
                <w:sz w:val="18"/>
                <w:szCs w:val="18"/>
                <w:lang w:eastAsia="zh-CN"/>
              </w:rPr>
              <w:t>Cancellation of the overlapping PUSCHs in an intra-band UL CA without indication in the DCI format 2-4</w:t>
            </w:r>
          </w:p>
        </w:tc>
        <w:tc>
          <w:tcPr>
            <w:tcW w:w="6570" w:type="dxa"/>
            <w:tcBorders>
              <w:top w:val="single" w:sz="4" w:space="0" w:color="auto"/>
              <w:left w:val="single" w:sz="4" w:space="0" w:color="auto"/>
              <w:bottom w:val="single" w:sz="4" w:space="0" w:color="auto"/>
              <w:right w:val="single" w:sz="4" w:space="0" w:color="auto"/>
            </w:tcBorders>
            <w:shd w:val="clear" w:color="auto" w:fill="auto"/>
          </w:tcPr>
          <w:p w14:paraId="7F5FB51D" w14:textId="77777777" w:rsidR="00857046" w:rsidRPr="00857046" w:rsidRDefault="00857046" w:rsidP="00857046">
            <w:pPr>
              <w:overflowPunct/>
              <w:autoSpaceDE/>
              <w:autoSpaceDN/>
              <w:adjustRightInd/>
              <w:spacing w:line="252" w:lineRule="auto"/>
              <w:jc w:val="both"/>
              <w:textAlignment w:val="auto"/>
              <w:rPr>
                <w:rFonts w:ascii="Arial" w:eastAsia="MS Gothic" w:hAnsi="Arial" w:cs="Arial"/>
                <w:sz w:val="18"/>
                <w:szCs w:val="18"/>
              </w:rPr>
            </w:pPr>
            <w:r w:rsidRPr="00857046">
              <w:rPr>
                <w:rFonts w:ascii="Arial" w:eastAsia="MS Gothic" w:hAnsi="Arial" w:cs="Arial"/>
                <w:sz w:val="18"/>
                <w:szCs w:val="18"/>
              </w:rPr>
              <w:t xml:space="preserve">1) For a UE indicating the capability of </w:t>
            </w:r>
            <w:r w:rsidRPr="00857046">
              <w:rPr>
                <w:rFonts w:ascii="Arial" w:eastAsia="MS Gothic" w:hAnsi="Arial" w:cs="Arial"/>
                <w:i/>
                <w:iCs/>
                <w:sz w:val="18"/>
                <w:szCs w:val="18"/>
              </w:rPr>
              <w:t>pa-</w:t>
            </w:r>
            <w:proofErr w:type="spellStart"/>
            <w:r w:rsidRPr="00857046">
              <w:rPr>
                <w:rFonts w:ascii="Arial" w:eastAsia="MS Gothic" w:hAnsi="Arial" w:cs="Arial"/>
                <w:i/>
                <w:iCs/>
                <w:sz w:val="18"/>
                <w:szCs w:val="18"/>
              </w:rPr>
              <w:t>PhaseDiscontinuityImpacts</w:t>
            </w:r>
            <w:proofErr w:type="spellEnd"/>
            <w:r w:rsidRPr="00857046">
              <w:rPr>
                <w:rFonts w:ascii="Arial" w:eastAsia="MS Gothic" w:hAnsi="Arial" w:cs="Arial"/>
                <w:sz w:val="18"/>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r>
    </w:tbl>
    <w:p w14:paraId="6999B34A" w14:textId="7ACAAD92" w:rsidR="00857046" w:rsidRDefault="00857046" w:rsidP="00230D18">
      <w:pPr>
        <w:pStyle w:val="BodyText"/>
      </w:pPr>
    </w:p>
    <w:p w14:paraId="4C71AF27" w14:textId="11842D61" w:rsidR="00703358" w:rsidRDefault="00703358" w:rsidP="00230D18">
      <w:pPr>
        <w:pStyle w:val="BodyText"/>
      </w:pPr>
      <w:r>
        <w:t>While we recognize that FG [11-7a] reflects a RAN1 conclusion (copied below) on intra-band cancellation, the meaning of this FG should</w:t>
      </w:r>
      <w:r w:rsidR="00D56E6E">
        <w:t xml:space="preserve"> be clarified</w:t>
      </w:r>
      <w:r>
        <w:t>.</w:t>
      </w:r>
      <w:r w:rsidR="00D56E6E">
        <w:t xml:space="preserve"> </w:t>
      </w:r>
      <w:r w:rsidR="00C868DA">
        <w:t xml:space="preserve">As stated in the conclusion, for a </w:t>
      </w:r>
      <w:r w:rsidR="00D56E6E">
        <w:t>UE</w:t>
      </w:r>
      <w:r w:rsidR="00C868DA">
        <w:t xml:space="preserve"> with indication of UL CI and </w:t>
      </w:r>
      <w:r w:rsidR="00C868DA" w:rsidRPr="00C868DA">
        <w:t xml:space="preserve">capability of </w:t>
      </w:r>
      <w:r w:rsidR="00C868DA" w:rsidRPr="00C868DA">
        <w:rPr>
          <w:i/>
          <w:iCs/>
        </w:rPr>
        <w:t>pa-</w:t>
      </w:r>
      <w:proofErr w:type="spellStart"/>
      <w:r w:rsidR="00C868DA" w:rsidRPr="00C868DA">
        <w:rPr>
          <w:i/>
          <w:iCs/>
        </w:rPr>
        <w:t>PhaseDiscontinuityImpacts</w:t>
      </w:r>
      <w:proofErr w:type="spellEnd"/>
      <w:r w:rsidR="00C868DA" w:rsidRPr="00C868DA">
        <w:t>,</w:t>
      </w:r>
      <w:r w:rsidR="00D56E6E">
        <w:t xml:space="preserve"> </w:t>
      </w:r>
      <w:r w:rsidR="00C868DA">
        <w:t xml:space="preserve">the UE </w:t>
      </w:r>
      <w:r w:rsidR="00D56E6E">
        <w:t>performs the cancellation on all other intra-band serving cells</w:t>
      </w:r>
      <w:r w:rsidR="00C868DA">
        <w:t xml:space="preserve"> if intra-band UL CA is configured. </w:t>
      </w:r>
      <w:proofErr w:type="gramStart"/>
      <w:r w:rsidR="00C868DA">
        <w:t>Thus</w:t>
      </w:r>
      <w:proofErr w:type="gramEnd"/>
      <w:r w:rsidR="00C868DA">
        <w:t xml:space="preserve"> it is not straightforward why the UE need to report </w:t>
      </w:r>
      <w:r w:rsidR="00D56E6E">
        <w:t>FG [11-7a]</w:t>
      </w:r>
      <w:r w:rsidR="00C868DA">
        <w:t xml:space="preserve">. </w:t>
      </w:r>
      <w:r w:rsidR="00D56E6E">
        <w:t xml:space="preserve"> </w:t>
      </w:r>
      <w:r w:rsidR="00C868DA">
        <w:t xml:space="preserve">It should be clarified that for a </w:t>
      </w:r>
      <w:r w:rsidR="00D56E6E">
        <w:t xml:space="preserve">UE </w:t>
      </w:r>
      <w:r w:rsidR="00C868DA">
        <w:t xml:space="preserve">indicating </w:t>
      </w:r>
      <w:r w:rsidR="00C868DA" w:rsidRPr="00C868DA">
        <w:rPr>
          <w:i/>
          <w:iCs/>
        </w:rPr>
        <w:t>pa-</w:t>
      </w:r>
      <w:proofErr w:type="spellStart"/>
      <w:r w:rsidR="00C868DA" w:rsidRPr="00C868DA">
        <w:rPr>
          <w:i/>
          <w:iCs/>
        </w:rPr>
        <w:t>PhaseDiscontinuityImpacts</w:t>
      </w:r>
      <w:proofErr w:type="spellEnd"/>
      <w:r w:rsidR="00047260">
        <w:t>, when</w:t>
      </w:r>
      <w:r w:rsidR="00C868DA">
        <w:t xml:space="preserve"> </w:t>
      </w:r>
      <w:r w:rsidR="00D56E6E">
        <w:t>FG [11-7a]</w:t>
      </w:r>
      <w:r w:rsidR="00047260">
        <w:t xml:space="preserve"> is not indicated</w:t>
      </w:r>
      <w:r w:rsidR="00AE5071">
        <w:t xml:space="preserve">, UL CI cannot be </w:t>
      </w:r>
      <w:r w:rsidR="00C868DA">
        <w:t>applied in the scenario of</w:t>
      </w:r>
      <w:r w:rsidR="00AE5071">
        <w:t xml:space="preserve"> intra-band UL CA.</w:t>
      </w:r>
      <w:r w:rsidR="00D56E6E">
        <w:t xml:space="preserve"> </w:t>
      </w:r>
      <w:r>
        <w:t xml:space="preserve"> </w:t>
      </w:r>
    </w:p>
    <w:p w14:paraId="4A66D8CE" w14:textId="6698268F" w:rsidR="00AE5071" w:rsidRDefault="00AE5071" w:rsidP="00230D18">
      <w:pPr>
        <w:pStyle w:val="BodyText"/>
      </w:pPr>
    </w:p>
    <w:tbl>
      <w:tblPr>
        <w:tblStyle w:val="TableGrid"/>
        <w:tblW w:w="0" w:type="auto"/>
        <w:tblLook w:val="04A0" w:firstRow="1" w:lastRow="0" w:firstColumn="1" w:lastColumn="0" w:noHBand="0" w:noVBand="1"/>
      </w:tblPr>
      <w:tblGrid>
        <w:gridCol w:w="9629"/>
      </w:tblGrid>
      <w:tr w:rsidR="00AE5071" w14:paraId="73C7B054" w14:textId="77777777" w:rsidTr="00AE5071">
        <w:tc>
          <w:tcPr>
            <w:tcW w:w="9629" w:type="dxa"/>
          </w:tcPr>
          <w:p w14:paraId="4EC47D47" w14:textId="77777777" w:rsidR="00AE5071" w:rsidRPr="00474CC6" w:rsidRDefault="00AE5071" w:rsidP="00AE5071">
            <w:pPr>
              <w:spacing w:after="0"/>
              <w:rPr>
                <w:rFonts w:ascii="Calibri" w:hAnsi="Calibri"/>
                <w:sz w:val="20"/>
                <w:lang w:val="en-US" w:eastAsia="zh-CN"/>
              </w:rPr>
            </w:pPr>
            <w:r w:rsidRPr="00474CC6">
              <w:rPr>
                <w:rFonts w:ascii="Calibri" w:hAnsi="Calibri"/>
                <w:b/>
                <w:bCs/>
                <w:sz w:val="20"/>
                <w:szCs w:val="24"/>
                <w:u w:val="single"/>
                <w:lang w:val="en-GB"/>
              </w:rPr>
              <w:t>Conclusion</w:t>
            </w:r>
            <w:r w:rsidRPr="00474CC6">
              <w:rPr>
                <w:rFonts w:ascii="Calibri" w:hAnsi="Calibri"/>
                <w:sz w:val="20"/>
                <w:szCs w:val="24"/>
                <w:lang w:val="en-GB"/>
              </w:rPr>
              <w:t>:</w:t>
            </w:r>
          </w:p>
          <w:p w14:paraId="6306E2E2" w14:textId="77777777" w:rsidR="00AE5071" w:rsidRPr="00474CC6" w:rsidRDefault="00AE5071" w:rsidP="00AE5071">
            <w:pPr>
              <w:numPr>
                <w:ilvl w:val="1"/>
                <w:numId w:val="30"/>
              </w:numPr>
              <w:overflowPunct/>
              <w:autoSpaceDE/>
              <w:autoSpaceDN/>
              <w:adjustRightInd/>
              <w:spacing w:line="252" w:lineRule="auto"/>
              <w:textAlignment w:val="auto"/>
              <w:rPr>
                <w:rFonts w:eastAsia="SimSun"/>
                <w:sz w:val="21"/>
                <w:szCs w:val="21"/>
                <w:lang w:val="en-GB" w:eastAsia="x-none"/>
              </w:rPr>
            </w:pPr>
            <w:r w:rsidRPr="00474CC6">
              <w:rPr>
                <w:rFonts w:ascii="Times" w:eastAsia="SimSun" w:hAnsi="Times"/>
                <w:sz w:val="21"/>
                <w:szCs w:val="21"/>
                <w:lang w:val="en-GB" w:eastAsia="x-none"/>
              </w:rPr>
              <w:t xml:space="preserve">It is possible for a UE to indicate </w:t>
            </w:r>
            <w:proofErr w:type="gramStart"/>
            <w:r w:rsidRPr="00474CC6">
              <w:rPr>
                <w:rFonts w:ascii="Times" w:eastAsia="SimSun" w:hAnsi="Times"/>
                <w:sz w:val="21"/>
                <w:szCs w:val="21"/>
                <w:lang w:val="en-GB" w:eastAsia="x-none"/>
              </w:rPr>
              <w:t>both  </w:t>
            </w:r>
            <w:r w:rsidRPr="00474CC6">
              <w:rPr>
                <w:rFonts w:ascii="Times" w:eastAsia="SimSun" w:hAnsi="Times"/>
                <w:i/>
                <w:iCs/>
                <w:sz w:val="21"/>
                <w:szCs w:val="21"/>
                <w:lang w:val="en-GB" w:eastAsia="x-none"/>
              </w:rPr>
              <w:t>pa</w:t>
            </w:r>
            <w:proofErr w:type="gramEnd"/>
            <w:r w:rsidRPr="00474CC6">
              <w:rPr>
                <w:rFonts w:ascii="Times" w:eastAsia="SimSun" w:hAnsi="Times"/>
                <w:i/>
                <w:iCs/>
                <w:sz w:val="21"/>
                <w:szCs w:val="21"/>
                <w:lang w:val="en-GB" w:eastAsia="x-none"/>
              </w:rPr>
              <w:t>-</w:t>
            </w:r>
            <w:proofErr w:type="spellStart"/>
            <w:r w:rsidRPr="00474CC6">
              <w:rPr>
                <w:rFonts w:ascii="Times" w:eastAsia="SimSun" w:hAnsi="Times"/>
                <w:i/>
                <w:iCs/>
                <w:sz w:val="21"/>
                <w:szCs w:val="21"/>
                <w:lang w:val="en-GB" w:eastAsia="x-none"/>
              </w:rPr>
              <w:t>PhaseDiscontinuityImpacts</w:t>
            </w:r>
            <w:proofErr w:type="spellEnd"/>
            <w:r w:rsidRPr="00474CC6">
              <w:rPr>
                <w:rFonts w:ascii="Times" w:eastAsia="SimSun" w:hAnsi="Times"/>
                <w:sz w:val="21"/>
                <w:szCs w:val="21"/>
                <w:lang w:val="en-GB" w:eastAsia="x-none"/>
              </w:rPr>
              <w:t>  (i.e. 6-23) and the support of UL CI for intra-band UL CA</w:t>
            </w:r>
          </w:p>
          <w:p w14:paraId="3EEF0CB7" w14:textId="298BACE7" w:rsidR="00AE5071" w:rsidRPr="00AE5071" w:rsidRDefault="00AE5071" w:rsidP="00230D18">
            <w:pPr>
              <w:numPr>
                <w:ilvl w:val="1"/>
                <w:numId w:val="30"/>
              </w:numPr>
              <w:overflowPunct/>
              <w:autoSpaceDE/>
              <w:autoSpaceDN/>
              <w:adjustRightInd/>
              <w:spacing w:line="252" w:lineRule="auto"/>
              <w:textAlignment w:val="auto"/>
              <w:rPr>
                <w:rFonts w:ascii="Times" w:eastAsia="SimSun" w:hAnsi="Times"/>
                <w:sz w:val="21"/>
                <w:szCs w:val="21"/>
                <w:lang w:val="en-GB" w:eastAsia="x-none"/>
              </w:rPr>
            </w:pPr>
            <w:r w:rsidRPr="00474CC6">
              <w:rPr>
                <w:rFonts w:ascii="Times" w:eastAsia="SimSun" w:hAnsi="Times"/>
                <w:sz w:val="21"/>
                <w:szCs w:val="21"/>
                <w:lang w:val="en-GB" w:eastAsia="x-none"/>
              </w:rPr>
              <w:t xml:space="preserve">For a UE indicates a capability to cancel overlapping PUSCHs on different intra-band serving cells (if any), and the </w:t>
            </w:r>
            <w:bookmarkStart w:id="19" w:name="_Hlk37435157"/>
            <w:r w:rsidRPr="00474CC6">
              <w:rPr>
                <w:rFonts w:ascii="Times" w:eastAsia="SimSun" w:hAnsi="Times"/>
                <w:sz w:val="21"/>
                <w:szCs w:val="21"/>
                <w:lang w:val="en-GB" w:eastAsia="x-none"/>
              </w:rPr>
              <w:t xml:space="preserve">capability of </w:t>
            </w:r>
            <w:r w:rsidRPr="00474CC6">
              <w:rPr>
                <w:rFonts w:ascii="Times" w:eastAsia="SimSun" w:hAnsi="Times"/>
                <w:i/>
                <w:iCs/>
                <w:sz w:val="21"/>
                <w:szCs w:val="21"/>
                <w:lang w:val="en-GB" w:eastAsia="x-none"/>
              </w:rPr>
              <w:t>pa-</w:t>
            </w:r>
            <w:proofErr w:type="spellStart"/>
            <w:r w:rsidRPr="00474CC6">
              <w:rPr>
                <w:rFonts w:ascii="Times" w:eastAsia="SimSun" w:hAnsi="Times"/>
                <w:i/>
                <w:iCs/>
                <w:sz w:val="21"/>
                <w:szCs w:val="21"/>
                <w:lang w:val="en-GB" w:eastAsia="x-none"/>
              </w:rPr>
              <w:t>PhaseDiscontinuityImpacts</w:t>
            </w:r>
            <w:proofErr w:type="spellEnd"/>
            <w:r w:rsidRPr="00474CC6">
              <w:rPr>
                <w:rFonts w:ascii="Times" w:eastAsia="SimSun" w:hAnsi="Times"/>
                <w:sz w:val="21"/>
                <w:szCs w:val="21"/>
                <w:lang w:val="en-GB" w:eastAsia="x-none"/>
              </w:rPr>
              <w:t>,</w:t>
            </w:r>
            <w:bookmarkEnd w:id="19"/>
            <w:r w:rsidRPr="00474CC6">
              <w:rPr>
                <w:rFonts w:ascii="Times" w:eastAsia="SimSun" w:hAnsi="Times"/>
                <w:sz w:val="21"/>
                <w:szCs w:val="21"/>
                <w:lang w:val="en-GB" w:eastAsia="x-none"/>
              </w:rPr>
              <w:t xml:space="preserve">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r>
    </w:tbl>
    <w:p w14:paraId="760C1FFA" w14:textId="0A78EE9E" w:rsidR="00AE5071" w:rsidRDefault="00AE5071" w:rsidP="00230D18">
      <w:pPr>
        <w:pStyle w:val="BodyText"/>
      </w:pPr>
    </w:p>
    <w:p w14:paraId="6F2EADFA" w14:textId="651F3C9F" w:rsidR="00AE5071" w:rsidRPr="00A04F49" w:rsidRDefault="00AE5071" w:rsidP="00AE5071">
      <w:pPr>
        <w:pStyle w:val="Proposal"/>
      </w:pPr>
      <w:bookmarkStart w:id="20" w:name="_Toc37442503"/>
      <w:r>
        <w:t xml:space="preserve">FG [11-7a] is introduced with clarification that </w:t>
      </w:r>
      <w:r w:rsidR="005F544E">
        <w:t xml:space="preserve">for </w:t>
      </w:r>
      <w:r>
        <w:t xml:space="preserve">a UE </w:t>
      </w:r>
      <w:r w:rsidR="00C868DA">
        <w:t xml:space="preserve">indicating </w:t>
      </w:r>
      <w:r w:rsidR="00C868DA" w:rsidRPr="00C868DA">
        <w:rPr>
          <w:i/>
          <w:iCs/>
        </w:rPr>
        <w:t>pa-</w:t>
      </w:r>
      <w:proofErr w:type="spellStart"/>
      <w:r w:rsidR="00C868DA" w:rsidRPr="00C868DA">
        <w:rPr>
          <w:i/>
          <w:iCs/>
        </w:rPr>
        <w:t>PhaseDiscontinuityImpacts</w:t>
      </w:r>
      <w:proofErr w:type="spellEnd"/>
      <w:r w:rsidR="00C868DA">
        <w:t xml:space="preserve"> but </w:t>
      </w:r>
      <w:r>
        <w:t>not FG [11-7a</w:t>
      </w:r>
      <w:proofErr w:type="gramStart"/>
      <w:r>
        <w:t>]</w:t>
      </w:r>
      <w:r w:rsidR="00C868DA">
        <w:t xml:space="preserve">, </w:t>
      </w:r>
      <w:r>
        <w:t xml:space="preserve"> </w:t>
      </w:r>
      <w:r w:rsidR="00C868DA">
        <w:t>UL</w:t>
      </w:r>
      <w:proofErr w:type="gramEnd"/>
      <w:r w:rsidR="00C868DA">
        <w:t xml:space="preserve"> CI cannot be applied in the scenario of intra-band UL CA</w:t>
      </w:r>
      <w:r>
        <w:t>.</w:t>
      </w:r>
      <w:bookmarkEnd w:id="20"/>
      <w:r>
        <w:t xml:space="preserve"> </w:t>
      </w:r>
    </w:p>
    <w:p w14:paraId="5C66CF61" w14:textId="77777777" w:rsidR="00AE5071" w:rsidRDefault="00AE5071" w:rsidP="00230D18">
      <w:pPr>
        <w:pStyle w:val="BodyText"/>
      </w:pPr>
    </w:p>
    <w:p w14:paraId="31D99DEF" w14:textId="746BCC1D" w:rsidR="00857046" w:rsidRDefault="00E730AF" w:rsidP="00857046">
      <w:pPr>
        <w:pStyle w:val="Heading2"/>
      </w:pPr>
      <w:r>
        <w:t>2.4</w:t>
      </w:r>
      <w:r>
        <w:tab/>
        <w:t xml:space="preserve">FG </w:t>
      </w:r>
      <w:r w:rsidR="00C0751C">
        <w:t>11-9</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00"/>
        <w:gridCol w:w="6570"/>
      </w:tblGrid>
      <w:tr w:rsidR="00C0751C" w:rsidRPr="00C0751C" w14:paraId="771EFA5A" w14:textId="77777777" w:rsidTr="00C0751C">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1508887" w14:textId="77777777" w:rsidR="00C0751C" w:rsidRPr="00C0751C" w:rsidRDefault="00C0751C" w:rsidP="00C0751C">
            <w:pPr>
              <w:keepNext/>
              <w:keepLines/>
              <w:overflowPunct/>
              <w:autoSpaceDE/>
              <w:autoSpaceDN/>
              <w:adjustRightInd/>
              <w:spacing w:after="0"/>
              <w:textAlignment w:val="auto"/>
              <w:rPr>
                <w:rFonts w:ascii="Arial" w:eastAsia="SimSun" w:hAnsi="Arial"/>
                <w:sz w:val="18"/>
                <w:lang w:eastAsia="zh-CN"/>
              </w:rPr>
            </w:pPr>
            <w:r w:rsidRPr="00C0751C">
              <w:rPr>
                <w:rFonts w:ascii="Arial" w:eastAsia="SimSun" w:hAnsi="Arial" w:hint="eastAsia"/>
                <w:sz w:val="18"/>
                <w:lang w:eastAsia="zh-CN"/>
              </w:rPr>
              <w:t>11-9</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992626E" w14:textId="77777777" w:rsidR="00C0751C" w:rsidRPr="00C0751C" w:rsidRDefault="00C0751C" w:rsidP="00C0751C">
            <w:pPr>
              <w:keepNext/>
              <w:keepLines/>
              <w:overflowPunct/>
              <w:autoSpaceDE/>
              <w:autoSpaceDN/>
              <w:adjustRightInd/>
              <w:spacing w:after="0"/>
              <w:textAlignment w:val="auto"/>
              <w:rPr>
                <w:rFonts w:ascii="Arial" w:eastAsia="SimSun" w:hAnsi="Arial"/>
                <w:sz w:val="18"/>
                <w:lang w:eastAsia="zh-CN"/>
              </w:rPr>
            </w:pPr>
            <w:r w:rsidRPr="00C0751C">
              <w:rPr>
                <w:rFonts w:ascii="Arial" w:eastAsia="SimSun" w:hAnsi="Arial" w:hint="eastAsia"/>
                <w:sz w:val="18"/>
                <w:lang w:eastAsia="zh-CN"/>
              </w:rPr>
              <w:t>M</w:t>
            </w:r>
            <w:r w:rsidRPr="00C0751C">
              <w:rPr>
                <w:rFonts w:ascii="Arial" w:eastAsia="SimSun" w:hAnsi="Arial"/>
                <w:sz w:val="18"/>
                <w:lang w:eastAsia="zh-CN"/>
              </w:rPr>
              <w:t>ultiple active configured grant configurations for a BWP of a serving cell</w:t>
            </w:r>
          </w:p>
        </w:tc>
        <w:tc>
          <w:tcPr>
            <w:tcW w:w="6570" w:type="dxa"/>
            <w:tcBorders>
              <w:top w:val="single" w:sz="4" w:space="0" w:color="auto"/>
              <w:left w:val="single" w:sz="4" w:space="0" w:color="auto"/>
              <w:bottom w:val="single" w:sz="4" w:space="0" w:color="auto"/>
              <w:right w:val="single" w:sz="4" w:space="0" w:color="auto"/>
            </w:tcBorders>
            <w:shd w:val="clear" w:color="auto" w:fill="auto"/>
          </w:tcPr>
          <w:p w14:paraId="7FD7096C"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1) Supports up to 12 configured/active configured grant configurations in a BWP of a serving cell.</w:t>
            </w:r>
          </w:p>
          <w:p w14:paraId="779170FD"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 Separate RRC parameters for different configured grant configurations</w:t>
            </w:r>
          </w:p>
          <w:p w14:paraId="21A88463"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 Separate activation for different configured grant Type 2 configurations</w:t>
            </w:r>
          </w:p>
          <w:p w14:paraId="58EB81C9"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 Separate release for different configured grant Type 2 configurations</w:t>
            </w:r>
          </w:p>
          <w:p w14:paraId="5DDEE238"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[2) Supported maximum number of configured grant configurations in a BWP of a serving cell]</w:t>
            </w:r>
          </w:p>
          <w:p w14:paraId="4A997541" w14:textId="77777777" w:rsidR="00C0751C" w:rsidRPr="00C0751C" w:rsidRDefault="00C0751C" w:rsidP="00C0751C">
            <w:pPr>
              <w:keepNext/>
              <w:keepLines/>
              <w:overflowPunct/>
              <w:autoSpaceDE/>
              <w:autoSpaceDN/>
              <w:adjustRightInd/>
              <w:spacing w:after="0"/>
              <w:textAlignment w:val="auto"/>
              <w:rPr>
                <w:rFonts w:ascii="Arial" w:eastAsia="SimSun" w:hAnsi="Arial"/>
                <w:sz w:val="18"/>
              </w:rPr>
            </w:pPr>
            <w:r w:rsidRPr="00C0751C">
              <w:rPr>
                <w:rFonts w:ascii="Arial" w:eastAsia="SimSun" w:hAnsi="Arial"/>
                <w:sz w:val="18"/>
              </w:rPr>
              <w:t xml:space="preserve">[3) Supported maximum number of configured grant configurations across all serving cells]  </w:t>
            </w:r>
          </w:p>
          <w:p w14:paraId="7C342290" w14:textId="77777777" w:rsidR="00C0751C" w:rsidRPr="00C0751C" w:rsidRDefault="00C0751C" w:rsidP="00C0751C">
            <w:pPr>
              <w:keepNext/>
              <w:keepLines/>
              <w:overflowPunct/>
              <w:autoSpaceDE/>
              <w:autoSpaceDN/>
              <w:adjustRightInd/>
              <w:spacing w:after="0"/>
              <w:ind w:left="360"/>
              <w:textAlignment w:val="auto"/>
              <w:rPr>
                <w:rFonts w:ascii="Arial" w:eastAsia="SimSun" w:hAnsi="Arial"/>
                <w:sz w:val="18"/>
              </w:rPr>
            </w:pPr>
          </w:p>
        </w:tc>
      </w:tr>
    </w:tbl>
    <w:p w14:paraId="6682635A" w14:textId="1E2F3142" w:rsidR="00C0751C" w:rsidRDefault="00C0751C" w:rsidP="00C0751C">
      <w:pPr>
        <w:pStyle w:val="BodyText"/>
      </w:pPr>
    </w:p>
    <w:p w14:paraId="138178D6" w14:textId="38D8930E" w:rsidR="00C0751C" w:rsidRPr="00047260" w:rsidRDefault="00C0751C" w:rsidP="00C0751C">
      <w:pPr>
        <w:pStyle w:val="BodyText"/>
      </w:pPr>
      <w:r w:rsidRPr="00047260">
        <w:lastRenderedPageBreak/>
        <w:t xml:space="preserve">For FG 11-9, there is a question if component 2) and 3) should be introduced. </w:t>
      </w:r>
      <w:r w:rsidR="0006489F" w:rsidRPr="00047260">
        <w:t xml:space="preserve">RAN1 has agreed that the maximum number of UL CG configurations per BWP of a serving cell is 12. </w:t>
      </w:r>
      <w:proofErr w:type="gramStart"/>
      <w:r w:rsidR="0006489F" w:rsidRPr="00047260">
        <w:t>Thus</w:t>
      </w:r>
      <w:proofErr w:type="gramEnd"/>
      <w:r w:rsidR="0006489F" w:rsidRPr="00047260">
        <w:t xml:space="preserve"> there is no</w:t>
      </w:r>
      <w:r w:rsidR="003715DA" w:rsidRPr="00047260">
        <w:t xml:space="preserve"> clear</w:t>
      </w:r>
      <w:r w:rsidR="0006489F" w:rsidRPr="00047260">
        <w:t xml:space="preserve"> need for the UE to additionally report components 2) and 3).  </w:t>
      </w:r>
    </w:p>
    <w:p w14:paraId="2C7517FB" w14:textId="0D8B500D" w:rsidR="0006489F" w:rsidRPr="00047260" w:rsidRDefault="0006489F" w:rsidP="0006489F">
      <w:pPr>
        <w:pStyle w:val="BodyText"/>
      </w:pPr>
      <w:r w:rsidRPr="00047260">
        <w:t xml:space="preserve">If it’s proven that FG 11-9 </w:t>
      </w:r>
      <w:r w:rsidR="00047260" w:rsidRPr="00047260">
        <w:t>requires</w:t>
      </w:r>
      <w:r w:rsidRPr="00047260">
        <w:t xml:space="preserve"> components 2), then the set of possible values should be limited. For example, for 2), supported </w:t>
      </w:r>
      <w:r w:rsidRPr="00C0751C">
        <w:rPr>
          <w:rFonts w:eastAsia="SimSun"/>
        </w:rPr>
        <w:t>maximum number of configured grant configurations in a BWP of a serving cell</w:t>
      </w:r>
      <w:r w:rsidRPr="00047260">
        <w:rPr>
          <w:rFonts w:eastAsia="SimSun"/>
        </w:rPr>
        <w:t xml:space="preserve"> can be </w:t>
      </w:r>
      <w:r w:rsidR="00047260">
        <w:rPr>
          <w:rFonts w:eastAsia="SimSun"/>
        </w:rPr>
        <w:t xml:space="preserve">selected from </w:t>
      </w:r>
      <w:r w:rsidRPr="00047260">
        <w:rPr>
          <w:rFonts w:eastAsia="SimSun"/>
        </w:rPr>
        <w:t>{1, 2, 4, 8, 12}.</w:t>
      </w:r>
    </w:p>
    <w:p w14:paraId="7CA7A780" w14:textId="348ABD9E" w:rsidR="00C0751C" w:rsidRPr="00047260" w:rsidRDefault="003715DA" w:rsidP="00C0751C">
      <w:pPr>
        <w:pStyle w:val="BodyText"/>
      </w:pPr>
      <w:r w:rsidRPr="00047260">
        <w:t xml:space="preserve">If it’s necessary to introduce component 3), it is reasonable to allow up to twice the number of UL CG configurations per cell group. This is </w:t>
      </w:r>
      <w:proofErr w:type="gramStart"/>
      <w:r w:rsidRPr="00047260">
        <w:t>similar to</w:t>
      </w:r>
      <w:proofErr w:type="gramEnd"/>
      <w:r w:rsidRPr="00047260">
        <w:t xml:space="preserve"> ‘</w:t>
      </w:r>
      <w:proofErr w:type="spellStart"/>
      <w:r w:rsidR="00300F55" w:rsidRPr="00047260">
        <w:rPr>
          <w:rFonts w:cs="Arial"/>
          <w:b/>
          <w:bCs/>
          <w:i/>
          <w:iCs/>
        </w:rPr>
        <w:t>multipleConfiguredGrants</w:t>
      </w:r>
      <w:proofErr w:type="spellEnd"/>
      <w:r w:rsidRPr="00047260">
        <w:t>’ in Rel-15</w:t>
      </w:r>
      <w:r w:rsidR="00300F55" w:rsidRPr="00047260">
        <w:t xml:space="preserve"> (see Appendix)</w:t>
      </w:r>
      <w:r w:rsidRPr="00047260">
        <w:t>.</w:t>
      </w:r>
      <w:r w:rsidR="00047260">
        <w:t xml:space="preserve"> </w:t>
      </w:r>
    </w:p>
    <w:p w14:paraId="20F6BC0A" w14:textId="77777777" w:rsidR="0006489F" w:rsidRDefault="0006489F" w:rsidP="00C0751C">
      <w:pPr>
        <w:pStyle w:val="BodyText"/>
      </w:pPr>
    </w:p>
    <w:p w14:paraId="00852721" w14:textId="464830A3" w:rsidR="0006489F" w:rsidRPr="00A575C2" w:rsidRDefault="00047260" w:rsidP="0006489F">
      <w:pPr>
        <w:pStyle w:val="Proposal"/>
      </w:pPr>
      <w:bookmarkStart w:id="21" w:name="_Toc37442504"/>
      <w:r>
        <w:t>Preferably c</w:t>
      </w:r>
      <w:r w:rsidR="0006489F" w:rsidRPr="00A575C2">
        <w:t>omponent 2) and 3) of FG 11-9 are not introduced.</w:t>
      </w:r>
      <w:bookmarkEnd w:id="21"/>
    </w:p>
    <w:p w14:paraId="66072D3C" w14:textId="2BD50257" w:rsidR="00A575C2" w:rsidRPr="00A575C2" w:rsidRDefault="0006489F" w:rsidP="0006489F">
      <w:pPr>
        <w:pStyle w:val="Proposal"/>
      </w:pPr>
      <w:bookmarkStart w:id="22" w:name="_Toc37442505"/>
      <w:r w:rsidRPr="00A575C2">
        <w:t xml:space="preserve">If component 2) of FG 11-9 is introduced, the supported </w:t>
      </w:r>
      <w:r w:rsidRPr="00C0751C">
        <w:rPr>
          <w:rFonts w:eastAsia="SimSun"/>
        </w:rPr>
        <w:t>maximum number of configured grant configurations in a BWP of a serving cell</w:t>
      </w:r>
      <w:r w:rsidRPr="00A575C2">
        <w:rPr>
          <w:rFonts w:eastAsia="SimSun"/>
        </w:rPr>
        <w:t xml:space="preserve"> </w:t>
      </w:r>
      <w:r w:rsidR="00047260">
        <w:rPr>
          <w:rFonts w:eastAsia="SimSun"/>
        </w:rPr>
        <w:t>is selected from</w:t>
      </w:r>
      <w:r w:rsidRPr="00A575C2">
        <w:rPr>
          <w:rFonts w:eastAsia="SimSun"/>
        </w:rPr>
        <w:t xml:space="preserve"> {1, 2, 4, 8, 12}.</w:t>
      </w:r>
      <w:bookmarkEnd w:id="22"/>
      <w:r w:rsidRPr="00A575C2">
        <w:rPr>
          <w:rFonts w:eastAsia="SimSun"/>
        </w:rPr>
        <w:t xml:space="preserve"> </w:t>
      </w:r>
    </w:p>
    <w:p w14:paraId="7404C213" w14:textId="7964AB20" w:rsidR="0006489F" w:rsidRPr="00A575C2" w:rsidRDefault="00A575C2" w:rsidP="0006489F">
      <w:pPr>
        <w:pStyle w:val="Proposal"/>
      </w:pPr>
      <w:bookmarkStart w:id="23" w:name="_Toc37442506"/>
      <w:r w:rsidRPr="00A575C2">
        <w:t xml:space="preserve">If </w:t>
      </w:r>
      <w:r w:rsidR="0006489F" w:rsidRPr="00A575C2">
        <w:rPr>
          <w:rFonts w:eastAsia="SimSun"/>
        </w:rPr>
        <w:t xml:space="preserve">Component 3) </w:t>
      </w:r>
      <w:r w:rsidRPr="00A575C2">
        <w:rPr>
          <w:rFonts w:eastAsia="SimSun"/>
        </w:rPr>
        <w:t>of FG</w:t>
      </w:r>
      <w:r>
        <w:rPr>
          <w:rFonts w:eastAsia="SimSun"/>
        </w:rPr>
        <w:t xml:space="preserve"> 11-9 is introduced, component 3) is updated to: “3) </w:t>
      </w:r>
      <w:r w:rsidRPr="00A575C2">
        <w:rPr>
          <w:rFonts w:eastAsia="SimSun"/>
        </w:rPr>
        <w:t>Supported maximum number of configured grant configurations across all serving cells</w:t>
      </w:r>
      <w:r>
        <w:rPr>
          <w:rFonts w:eastAsia="SimSun"/>
        </w:rPr>
        <w:t xml:space="preserve"> </w:t>
      </w:r>
      <w:r w:rsidRPr="00A575C2">
        <w:rPr>
          <w:rFonts w:eastAsia="SimSun"/>
          <w:u w:val="single"/>
        </w:rPr>
        <w:t>in a cell group is 24.</w:t>
      </w:r>
      <w:r>
        <w:rPr>
          <w:rFonts w:eastAsia="SimSun"/>
        </w:rPr>
        <w:t>”</w:t>
      </w:r>
      <w:bookmarkEnd w:id="23"/>
    </w:p>
    <w:p w14:paraId="7D76CAAA" w14:textId="5149E8EC" w:rsidR="00C0751C" w:rsidRPr="00A575C2" w:rsidRDefault="00C0751C" w:rsidP="00C0751C">
      <w:pPr>
        <w:pStyle w:val="BodyText"/>
      </w:pPr>
    </w:p>
    <w:p w14:paraId="1B7987AB" w14:textId="77777777" w:rsidR="00C0751C" w:rsidRPr="00A575C2" w:rsidRDefault="00C0751C" w:rsidP="00C0751C">
      <w:pPr>
        <w:pStyle w:val="BodyText"/>
      </w:pPr>
    </w:p>
    <w:p w14:paraId="7963E3AE" w14:textId="75BC7D9E" w:rsidR="006E062C" w:rsidRPr="00CE0424" w:rsidRDefault="00B409E0" w:rsidP="00CE0424">
      <w:pPr>
        <w:pStyle w:val="Heading1"/>
      </w:pPr>
      <w:bookmarkStart w:id="24" w:name="_Ref189046994"/>
      <w:r>
        <w:t>3</w:t>
      </w:r>
      <w:r>
        <w:tab/>
      </w:r>
      <w:bookmarkEnd w:id="24"/>
      <w:r w:rsidR="005E3EEF" w:rsidRPr="005F37C3">
        <w:rPr>
          <w:rFonts w:eastAsia="Batang"/>
          <w:sz w:val="32"/>
          <w:szCs w:val="32"/>
          <w:lang w:val="en-US" w:eastAsia="ko-KR"/>
        </w:rPr>
        <w:t>NR_IIOT</w:t>
      </w:r>
    </w:p>
    <w:p w14:paraId="08228060" w14:textId="5D3531D4" w:rsidR="003B64BB" w:rsidRDefault="003B64BB" w:rsidP="003B64BB">
      <w:pPr>
        <w:pStyle w:val="Heading2"/>
      </w:pPr>
      <w:r>
        <w:t>3.1</w:t>
      </w:r>
      <w:r>
        <w:tab/>
      </w:r>
      <w:r w:rsidR="00DF22E0">
        <w:t>FG 12-3</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520"/>
        <w:gridCol w:w="4140"/>
        <w:gridCol w:w="1890"/>
      </w:tblGrid>
      <w:tr w:rsidR="00BF40C1" w14:paraId="225475E6" w14:textId="134E99E0" w:rsidTr="00BF40C1">
        <w:trPr>
          <w:trHeight w:val="20"/>
        </w:trPr>
        <w:tc>
          <w:tcPr>
            <w:tcW w:w="8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9B6473" w14:textId="77777777" w:rsidR="00BF40C1" w:rsidRDefault="00BF40C1" w:rsidP="00065CEE">
            <w:pPr>
              <w:pStyle w:val="TAL"/>
              <w:rPr>
                <w:lang w:eastAsia="ja-JP"/>
              </w:rPr>
            </w:pPr>
            <w:r>
              <w:rPr>
                <w:lang w:eastAsia="ja-JP"/>
              </w:rPr>
              <w:t>12-3</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694401" w14:textId="77777777" w:rsidR="00BF40C1" w:rsidRDefault="00BF40C1" w:rsidP="00065CEE">
            <w:pPr>
              <w:pStyle w:val="TAL"/>
            </w:pPr>
            <w:r>
              <w:t>SPS release by DCI format 1_1 and 1_2</w:t>
            </w:r>
          </w:p>
        </w:tc>
        <w:tc>
          <w:tcPr>
            <w:tcW w:w="41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62A4FE" w14:textId="77777777" w:rsidR="00BF40C1" w:rsidRDefault="00BF40C1" w:rsidP="00BF40C1">
            <w:pPr>
              <w:pStyle w:val="TAL"/>
              <w:numPr>
                <w:ilvl w:val="0"/>
                <w:numId w:val="32"/>
              </w:numPr>
              <w:overflowPunct/>
              <w:autoSpaceDE/>
              <w:autoSpaceDN/>
              <w:adjustRightInd/>
              <w:textAlignment w:val="auto"/>
            </w:pPr>
            <w:r>
              <w:t>Support of SPS release by DCI format 1_1</w:t>
            </w:r>
          </w:p>
          <w:p w14:paraId="3A607AD1" w14:textId="77777777" w:rsidR="00BF40C1" w:rsidRDefault="00BF40C1" w:rsidP="00BF40C1">
            <w:pPr>
              <w:pStyle w:val="TAL"/>
              <w:numPr>
                <w:ilvl w:val="0"/>
                <w:numId w:val="32"/>
              </w:numPr>
              <w:overflowPunct/>
              <w:autoSpaceDE/>
              <w:autoSpaceDN/>
              <w:adjustRightInd/>
              <w:textAlignment w:val="auto"/>
            </w:pPr>
            <w:r>
              <w:t>Support of SPS release by DCI format 1_2</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4971E65D" w14:textId="54C33867" w:rsidR="00BF40C1" w:rsidRDefault="00BF40C1" w:rsidP="00BF40C1">
            <w:pPr>
              <w:pStyle w:val="TAL"/>
              <w:overflowPunct/>
              <w:autoSpaceDE/>
              <w:autoSpaceDN/>
              <w:adjustRightInd/>
              <w:ind w:left="77"/>
              <w:textAlignment w:val="auto"/>
            </w:pPr>
            <w:proofErr w:type="spellStart"/>
            <w:r>
              <w:rPr>
                <w:bCs/>
              </w:rPr>
              <w:t>downlinkSPS</w:t>
            </w:r>
            <w:proofErr w:type="spellEnd"/>
          </w:p>
        </w:tc>
      </w:tr>
    </w:tbl>
    <w:p w14:paraId="3638A962" w14:textId="77777777" w:rsidR="00BF40C1" w:rsidRDefault="00BF40C1" w:rsidP="00BF40C1">
      <w:pPr>
        <w:pStyle w:val="BodyText"/>
      </w:pPr>
    </w:p>
    <w:p w14:paraId="36634C55" w14:textId="77777777" w:rsidR="00FC6BBC" w:rsidRDefault="00F60203" w:rsidP="00BF40C1">
      <w:pPr>
        <w:pStyle w:val="BodyText"/>
      </w:pPr>
      <w:r>
        <w:t xml:space="preserve">In </w:t>
      </w:r>
      <w:r w:rsidR="00BF40C1">
        <w:t xml:space="preserve">FG 12-3, the support of SPS release by DCI format 1_1 and 1_2 are combined. However, this is not consistent with the way UL CG releases are constructed. As shown below, two FG, 11-10 and 11-11, are defined, with FG 11-10 having no dependency to FG 11-1, but with FG 11-11 depends on FG 11-1 as a prerequisite. </w:t>
      </w:r>
    </w:p>
    <w:p w14:paraId="2EA3A796" w14:textId="72C274AF" w:rsidR="003B64BB" w:rsidRDefault="00BF40C1" w:rsidP="00BF40C1">
      <w:pPr>
        <w:pStyle w:val="BodyText"/>
      </w:pPr>
      <w:r>
        <w:t xml:space="preserve">In our view, the way used for UL CG </w:t>
      </w:r>
      <w:r w:rsidR="00FC6BBC">
        <w:t xml:space="preserve">release </w:t>
      </w:r>
      <w:r>
        <w:t xml:space="preserve">is appropriate, since support of DCI format </w:t>
      </w:r>
      <w:r w:rsidR="00FC6BBC">
        <w:t>1</w:t>
      </w:r>
      <w:r>
        <w:t xml:space="preserve">_2 </w:t>
      </w:r>
      <w:r w:rsidR="00FC6BBC">
        <w:t xml:space="preserve">needs FG 11-1 before it can be used for SPS release. </w:t>
      </w:r>
    </w:p>
    <w:p w14:paraId="4761B658" w14:textId="6023460F" w:rsidR="00BF40C1" w:rsidRDefault="00BF40C1" w:rsidP="00BF40C1">
      <w:pPr>
        <w:pStyle w:val="BodyText"/>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610"/>
        <w:gridCol w:w="5310"/>
        <w:gridCol w:w="900"/>
      </w:tblGrid>
      <w:tr w:rsidR="00BF40C1" w:rsidRPr="00BF40C1" w14:paraId="3BF90C63" w14:textId="77777777" w:rsidTr="00BF40C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7734813"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1-10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CA0C69E"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sz w:val="18"/>
                <w:lang w:eastAsia="zh-CN"/>
              </w:rPr>
              <w:t xml:space="preserve">Type 2 configured grant release by DCI format 0_1  </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EF0816E"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A249E1" w14:textId="77777777" w:rsidR="00BF40C1" w:rsidRPr="00BF40C1" w:rsidRDefault="00BF40C1" w:rsidP="00BF40C1">
            <w:pPr>
              <w:keepNext/>
              <w:keepLines/>
              <w:overflowPunct/>
              <w:autoSpaceDE/>
              <w:autoSpaceDN/>
              <w:adjustRightInd/>
              <w:spacing w:after="0"/>
              <w:textAlignment w:val="auto"/>
              <w:rPr>
                <w:rFonts w:ascii="Arial" w:eastAsia="SimSun" w:hAnsi="Arial"/>
                <w:sz w:val="18"/>
              </w:rPr>
            </w:pPr>
          </w:p>
        </w:tc>
      </w:tr>
      <w:tr w:rsidR="00BF40C1" w:rsidRPr="00BF40C1" w14:paraId="45CF00BF" w14:textId="77777777" w:rsidTr="00BF40C1">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C5D0F06"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 xml:space="preserve">1-11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91649F2"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sz w:val="18"/>
                <w:lang w:eastAsia="zh-CN"/>
              </w:rPr>
              <w:t>Type 2 configured grant release by DCI format 0_2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71FB0EA" w14:textId="77777777" w:rsidR="00BF40C1" w:rsidRPr="00BF40C1" w:rsidRDefault="00BF40C1" w:rsidP="00BF40C1">
            <w:pPr>
              <w:keepNext/>
              <w:keepLines/>
              <w:overflowPunct/>
              <w:autoSpaceDE/>
              <w:autoSpaceDN/>
              <w:adjustRightInd/>
              <w:spacing w:after="0"/>
              <w:textAlignment w:val="auto"/>
              <w:rPr>
                <w:rFonts w:ascii="Arial" w:eastAsia="SimSun" w:hAnsi="Arial"/>
                <w:sz w:val="18"/>
              </w:rPr>
            </w:pPr>
            <w:r w:rsidRPr="00BF40C1">
              <w:rPr>
                <w:rFonts w:ascii="Arial" w:eastAsia="SimSun" w:hAnsi="Arial" w:hint="eastAsia"/>
                <w:sz w:val="18"/>
                <w:lang w:eastAsia="zh-CN"/>
              </w:rPr>
              <w:t>S</w:t>
            </w:r>
            <w:r w:rsidRPr="00BF40C1">
              <w:rPr>
                <w:rFonts w:ascii="Arial" w:eastAsia="SimSun" w:hAnsi="Arial"/>
                <w:sz w:val="18"/>
                <w:lang w:eastAsia="zh-CN"/>
              </w:rPr>
              <w:t>upport of type 2 configured grant release by DCI format 0_2</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D2DF58" w14:textId="77777777" w:rsidR="00BF40C1" w:rsidRPr="00BF40C1" w:rsidRDefault="00BF40C1" w:rsidP="00BF40C1">
            <w:pPr>
              <w:keepNext/>
              <w:keepLines/>
              <w:overflowPunct/>
              <w:autoSpaceDE/>
              <w:autoSpaceDN/>
              <w:adjustRightInd/>
              <w:spacing w:after="0"/>
              <w:textAlignment w:val="auto"/>
              <w:rPr>
                <w:rFonts w:ascii="Arial" w:eastAsia="SimSun" w:hAnsi="Arial"/>
                <w:sz w:val="18"/>
                <w:lang w:eastAsia="zh-CN"/>
              </w:rPr>
            </w:pPr>
            <w:r w:rsidRPr="00BF40C1">
              <w:rPr>
                <w:rFonts w:ascii="Arial" w:eastAsia="SimSun" w:hAnsi="Arial" w:hint="eastAsia"/>
                <w:sz w:val="18"/>
                <w:lang w:eastAsia="zh-CN"/>
              </w:rPr>
              <w:t>1</w:t>
            </w:r>
            <w:r w:rsidRPr="00BF40C1">
              <w:rPr>
                <w:rFonts w:ascii="Arial" w:eastAsia="SimSun" w:hAnsi="Arial"/>
                <w:sz w:val="18"/>
                <w:lang w:eastAsia="zh-CN"/>
              </w:rPr>
              <w:t>1-1</w:t>
            </w:r>
          </w:p>
        </w:tc>
      </w:tr>
    </w:tbl>
    <w:p w14:paraId="44438E55" w14:textId="403741A6" w:rsidR="00BF40C1" w:rsidRDefault="00BF40C1" w:rsidP="00BF40C1">
      <w:pPr>
        <w:pStyle w:val="BodyText"/>
      </w:pPr>
    </w:p>
    <w:p w14:paraId="22DE4B3B" w14:textId="5C893089" w:rsidR="00FC6BBC" w:rsidRDefault="00FC6BBC" w:rsidP="00BF40C1">
      <w:pPr>
        <w:pStyle w:val="BodyText"/>
      </w:pPr>
      <w:r>
        <w:t>Thus, SPS release should be supplied with two FG, as shown below.</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610"/>
        <w:gridCol w:w="4230"/>
        <w:gridCol w:w="1980"/>
      </w:tblGrid>
      <w:tr w:rsidR="00FC6BBC" w:rsidRPr="00BF40C1" w14:paraId="4928F46A" w14:textId="77777777" w:rsidTr="009908DA">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D949B22" w14:textId="699A86AB" w:rsidR="00FC6BBC" w:rsidRPr="00BF40C1" w:rsidRDefault="00FC6BBC" w:rsidP="00065CEE">
            <w:pPr>
              <w:keepNext/>
              <w:keepLines/>
              <w:overflowPunct/>
              <w:autoSpaceDE/>
              <w:autoSpaceDN/>
              <w:adjustRightInd/>
              <w:spacing w:after="0"/>
              <w:textAlignment w:val="auto"/>
              <w:rPr>
                <w:rFonts w:ascii="Arial" w:eastAsia="SimSun" w:hAnsi="Arial"/>
                <w:sz w:val="18"/>
                <w:lang w:eastAsia="zh-CN"/>
              </w:rPr>
            </w:pPr>
            <w:r w:rsidRPr="00FC6BBC">
              <w:rPr>
                <w:rFonts w:ascii="Arial" w:eastAsia="SimSun" w:hAnsi="Arial"/>
                <w:sz w:val="18"/>
                <w:lang w:eastAsia="zh-CN"/>
              </w:rPr>
              <w:t>12-3</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91027A4" w14:textId="646FC5E4" w:rsidR="00FC6BBC" w:rsidRPr="00BF40C1" w:rsidRDefault="00FC6BBC" w:rsidP="00065CEE">
            <w:pPr>
              <w:keepNext/>
              <w:keepLines/>
              <w:overflowPunct/>
              <w:autoSpaceDE/>
              <w:autoSpaceDN/>
              <w:adjustRightInd/>
              <w:spacing w:after="0"/>
              <w:textAlignment w:val="auto"/>
              <w:rPr>
                <w:rFonts w:ascii="Arial" w:eastAsia="SimSun" w:hAnsi="Arial"/>
                <w:sz w:val="18"/>
                <w:lang w:eastAsia="zh-CN"/>
              </w:rPr>
            </w:pPr>
            <w:r w:rsidRPr="00FC6BBC">
              <w:rPr>
                <w:rFonts w:ascii="Arial" w:eastAsia="SimSun" w:hAnsi="Arial"/>
                <w:sz w:val="18"/>
                <w:lang w:eastAsia="zh-CN"/>
              </w:rPr>
              <w:t>SPS release by DCI format 1_1</w:t>
            </w:r>
            <w:r w:rsidRPr="00BF40C1">
              <w:rPr>
                <w:rFonts w:ascii="Arial" w:eastAsia="SimSun" w:hAnsi="Arial"/>
                <w:sz w:val="18"/>
                <w:lang w:eastAsia="zh-CN"/>
              </w:rPr>
              <w:t xml:space="preserve">  </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3BCD9293" w14:textId="3CD7B417" w:rsidR="00FC6BBC" w:rsidRPr="00BF40C1" w:rsidRDefault="00FC6BBC" w:rsidP="00065CEE">
            <w:pPr>
              <w:keepNext/>
              <w:keepLines/>
              <w:overflowPunct/>
              <w:autoSpaceDE/>
              <w:autoSpaceDN/>
              <w:adjustRightInd/>
              <w:spacing w:after="0"/>
              <w:textAlignment w:val="auto"/>
              <w:rPr>
                <w:rFonts w:ascii="Arial" w:eastAsia="SimSun" w:hAnsi="Arial"/>
                <w:sz w:val="18"/>
                <w:lang w:eastAsia="zh-CN"/>
              </w:rPr>
            </w:pPr>
            <w:r w:rsidRPr="00FC6BBC">
              <w:rPr>
                <w:rFonts w:ascii="Arial" w:eastAsia="SimSun" w:hAnsi="Arial"/>
                <w:sz w:val="18"/>
                <w:lang w:eastAsia="zh-CN"/>
              </w:rPr>
              <w:t>Support of SPS release by DCI format 1_1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87CDCA1" w14:textId="4FC5C15F" w:rsidR="00FC6BBC" w:rsidRPr="00BF40C1" w:rsidRDefault="009908DA" w:rsidP="00065CEE">
            <w:pPr>
              <w:keepNext/>
              <w:keepLines/>
              <w:overflowPunct/>
              <w:autoSpaceDE/>
              <w:autoSpaceDN/>
              <w:adjustRightInd/>
              <w:spacing w:after="0"/>
              <w:textAlignment w:val="auto"/>
              <w:rPr>
                <w:rFonts w:ascii="Arial" w:eastAsia="SimSun" w:hAnsi="Arial"/>
                <w:sz w:val="18"/>
              </w:rPr>
            </w:pPr>
            <w:proofErr w:type="spellStart"/>
            <w:r w:rsidRPr="009908DA">
              <w:rPr>
                <w:rFonts w:ascii="Arial" w:eastAsia="SimSun" w:hAnsi="Arial"/>
                <w:sz w:val="18"/>
              </w:rPr>
              <w:t>downlinkSPS</w:t>
            </w:r>
            <w:proofErr w:type="spellEnd"/>
          </w:p>
        </w:tc>
      </w:tr>
      <w:tr w:rsidR="00FC6BBC" w:rsidRPr="00BF40C1" w14:paraId="2D900342" w14:textId="77777777" w:rsidTr="009908DA">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3355DE0" w14:textId="45EC92A3" w:rsidR="00FC6BBC" w:rsidRPr="00BF40C1" w:rsidRDefault="00FC6BBC" w:rsidP="00065CEE">
            <w:pPr>
              <w:keepNext/>
              <w:keepLines/>
              <w:overflowPunct/>
              <w:autoSpaceDE/>
              <w:autoSpaceDN/>
              <w:adjustRightInd/>
              <w:spacing w:after="0"/>
              <w:textAlignment w:val="auto"/>
              <w:rPr>
                <w:rFonts w:ascii="Arial" w:eastAsia="SimSun" w:hAnsi="Arial"/>
                <w:sz w:val="18"/>
                <w:lang w:eastAsia="zh-CN"/>
              </w:rPr>
            </w:pPr>
            <w:r>
              <w:rPr>
                <w:rFonts w:ascii="Arial" w:eastAsia="SimSun" w:hAnsi="Arial"/>
                <w:sz w:val="18"/>
                <w:lang w:eastAsia="zh-CN"/>
              </w:rPr>
              <w:t>12-4</w:t>
            </w:r>
            <w:r w:rsidRPr="00BF40C1">
              <w:rPr>
                <w:rFonts w:ascii="Arial" w:eastAsia="SimSun" w:hAnsi="Arial"/>
                <w:sz w:val="18"/>
                <w:lang w:eastAsia="zh-CN"/>
              </w:rPr>
              <w:t xml:space="preserve"> </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15F2C45" w14:textId="056B66C1" w:rsidR="00FC6BBC" w:rsidRPr="00BF40C1" w:rsidRDefault="00FC6BBC" w:rsidP="00065CEE">
            <w:pPr>
              <w:keepNext/>
              <w:keepLines/>
              <w:overflowPunct/>
              <w:autoSpaceDE/>
              <w:autoSpaceDN/>
              <w:adjustRightInd/>
              <w:spacing w:after="0"/>
              <w:textAlignment w:val="auto"/>
              <w:rPr>
                <w:rFonts w:ascii="Arial" w:eastAsia="SimSun" w:hAnsi="Arial"/>
                <w:sz w:val="18"/>
                <w:lang w:eastAsia="zh-CN"/>
              </w:rPr>
            </w:pPr>
            <w:r w:rsidRPr="00FC6BBC">
              <w:rPr>
                <w:rFonts w:ascii="Arial" w:eastAsia="SimSun" w:hAnsi="Arial"/>
                <w:sz w:val="18"/>
                <w:lang w:eastAsia="zh-CN"/>
              </w:rPr>
              <w:t>SPS release by DCI format 1_2</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B32415C" w14:textId="604A110D" w:rsidR="00FC6BBC" w:rsidRPr="00BF40C1" w:rsidRDefault="00FC6BBC" w:rsidP="00065CEE">
            <w:pPr>
              <w:keepNext/>
              <w:keepLines/>
              <w:overflowPunct/>
              <w:autoSpaceDE/>
              <w:autoSpaceDN/>
              <w:adjustRightInd/>
              <w:spacing w:after="0"/>
              <w:textAlignment w:val="auto"/>
              <w:rPr>
                <w:rFonts w:ascii="Arial" w:eastAsia="SimSun" w:hAnsi="Arial"/>
                <w:sz w:val="18"/>
              </w:rPr>
            </w:pPr>
            <w:r w:rsidRPr="00FC6BBC">
              <w:rPr>
                <w:rFonts w:ascii="Arial" w:eastAsia="SimSun" w:hAnsi="Arial"/>
                <w:sz w:val="18"/>
                <w:lang w:eastAsia="zh-CN"/>
              </w:rPr>
              <w:t>Support of SPS release by DCI format 1_</w:t>
            </w:r>
            <w:r>
              <w:rPr>
                <w:rFonts w:ascii="Arial" w:eastAsia="SimSun" w:hAnsi="Arial"/>
                <w:sz w:val="18"/>
                <w:lang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2024EA7" w14:textId="6068AD89" w:rsidR="00FC6BBC" w:rsidRPr="00BF40C1" w:rsidRDefault="009908DA" w:rsidP="00065CEE">
            <w:pPr>
              <w:keepNext/>
              <w:keepLines/>
              <w:overflowPunct/>
              <w:autoSpaceDE/>
              <w:autoSpaceDN/>
              <w:adjustRightInd/>
              <w:spacing w:after="0"/>
              <w:textAlignment w:val="auto"/>
              <w:rPr>
                <w:rFonts w:ascii="Arial" w:eastAsia="SimSun" w:hAnsi="Arial"/>
                <w:sz w:val="18"/>
                <w:lang w:eastAsia="zh-CN"/>
              </w:rPr>
            </w:pPr>
            <w:proofErr w:type="spellStart"/>
            <w:r w:rsidRPr="009908DA">
              <w:rPr>
                <w:rFonts w:ascii="Arial" w:eastAsia="SimSun" w:hAnsi="Arial"/>
                <w:sz w:val="18"/>
                <w:lang w:eastAsia="zh-CN"/>
              </w:rPr>
              <w:t>downlinkSPS</w:t>
            </w:r>
            <w:proofErr w:type="spellEnd"/>
            <w:r>
              <w:rPr>
                <w:rFonts w:ascii="Arial" w:eastAsia="SimSun" w:hAnsi="Arial"/>
                <w:sz w:val="18"/>
                <w:lang w:eastAsia="zh-CN"/>
              </w:rPr>
              <w:t>,</w:t>
            </w:r>
            <w:r w:rsidRPr="009908DA">
              <w:rPr>
                <w:rFonts w:ascii="Arial" w:eastAsia="SimSun" w:hAnsi="Arial" w:hint="eastAsia"/>
                <w:sz w:val="18"/>
                <w:lang w:eastAsia="zh-CN"/>
              </w:rPr>
              <w:t xml:space="preserve"> </w:t>
            </w:r>
            <w:r w:rsidR="00FC6BBC" w:rsidRPr="00BF40C1">
              <w:rPr>
                <w:rFonts w:ascii="Arial" w:eastAsia="SimSun" w:hAnsi="Arial" w:hint="eastAsia"/>
                <w:sz w:val="18"/>
                <w:lang w:eastAsia="zh-CN"/>
              </w:rPr>
              <w:t>1</w:t>
            </w:r>
            <w:r w:rsidR="00FC6BBC" w:rsidRPr="00BF40C1">
              <w:rPr>
                <w:rFonts w:ascii="Arial" w:eastAsia="SimSun" w:hAnsi="Arial"/>
                <w:sz w:val="18"/>
                <w:lang w:eastAsia="zh-CN"/>
              </w:rPr>
              <w:t>1-1</w:t>
            </w:r>
          </w:p>
        </w:tc>
      </w:tr>
    </w:tbl>
    <w:p w14:paraId="1617ED7C" w14:textId="3AD14D20" w:rsidR="00FC6BBC" w:rsidRDefault="00FC6BBC" w:rsidP="00BF40C1">
      <w:pPr>
        <w:pStyle w:val="BodyText"/>
      </w:pPr>
    </w:p>
    <w:p w14:paraId="37B53B93" w14:textId="77F1D541" w:rsidR="00D53557" w:rsidRDefault="00D53557" w:rsidP="00D53557">
      <w:pPr>
        <w:pStyle w:val="Proposal"/>
      </w:pPr>
      <w:bookmarkStart w:id="25" w:name="_Toc37442507"/>
      <w:r>
        <w:t>Two FG are defined for SPS release, with release by DCI format 1_2 having prerequisite of FG 11-1.</w:t>
      </w:r>
      <w:bookmarkEnd w:id="25"/>
    </w:p>
    <w:p w14:paraId="0A88A882" w14:textId="77777777" w:rsidR="00D53557" w:rsidRPr="00CE0424" w:rsidRDefault="00D53557" w:rsidP="00BF40C1">
      <w:pPr>
        <w:pStyle w:val="BodyText"/>
      </w:pPr>
    </w:p>
    <w:p w14:paraId="36B90381" w14:textId="77777777" w:rsidR="00C01F33" w:rsidRPr="00CE0424" w:rsidRDefault="00C01F33" w:rsidP="00CE0424">
      <w:pPr>
        <w:pStyle w:val="Heading1"/>
      </w:pPr>
      <w:r w:rsidRPr="00CE0424">
        <w:lastRenderedPageBreak/>
        <w:t>Conclusion</w:t>
      </w:r>
    </w:p>
    <w:p w14:paraId="72C84F5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BE02AD" w14:textId="77777777" w:rsidR="005F544E"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37442448" w:history="1">
        <w:r w:rsidR="005F544E" w:rsidRPr="001E6AE9">
          <w:rPr>
            <w:rStyle w:val="Hyperlink"/>
            <w:noProof/>
          </w:rPr>
          <w:t>Observation 1</w:t>
        </w:r>
        <w:r w:rsidR="005F544E">
          <w:rPr>
            <w:rFonts w:asciiTheme="minorHAnsi" w:eastAsiaTheme="minorEastAsia" w:hAnsiTheme="minorHAnsi" w:cstheme="minorBidi"/>
            <w:b w:val="0"/>
            <w:noProof/>
            <w:sz w:val="22"/>
            <w:szCs w:val="22"/>
            <w:lang w:val="en-US"/>
          </w:rPr>
          <w:tab/>
        </w:r>
        <w:r w:rsidR="005F544E" w:rsidRPr="001E6AE9">
          <w:rPr>
            <w:rStyle w:val="Hyperlink"/>
            <w:noProof/>
          </w:rPr>
          <w:t>Combination (4,2) of sub-slot pattern prevents at least half of the sub-slots from actual HARQ-ACK PUCCH transmission. It leads to uneven sub-slot pattern between slots, or different sub-slot pattern between adjacent slots.</w:t>
        </w:r>
      </w:hyperlink>
    </w:p>
    <w:p w14:paraId="6750872C" w14:textId="3BB8771A" w:rsidR="006E1C82" w:rsidRDefault="006F6582" w:rsidP="008E065E">
      <w:pPr>
        <w:pStyle w:val="BodyText"/>
        <w:rPr>
          <w:b/>
          <w:bCs/>
        </w:rPr>
      </w:pPr>
      <w:r>
        <w:rPr>
          <w:b/>
          <w:bCs/>
        </w:rPr>
        <w:fldChar w:fldCharType="end"/>
      </w:r>
    </w:p>
    <w:p w14:paraId="175E8225" w14:textId="77777777" w:rsidR="006E1C82" w:rsidRDefault="006E1C82" w:rsidP="008E065E">
      <w:pPr>
        <w:pStyle w:val="BodyText"/>
        <w:rPr>
          <w:b/>
          <w:bCs/>
        </w:rPr>
      </w:pPr>
    </w:p>
    <w:p w14:paraId="1FB3932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111269" w14:textId="77777777" w:rsidR="001C21BA"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442497" w:history="1">
        <w:r w:rsidR="001C21BA" w:rsidRPr="0030604F">
          <w:rPr>
            <w:rStyle w:val="Hyperlink"/>
            <w:noProof/>
          </w:rPr>
          <w:t>Proposal 1</w:t>
        </w:r>
        <w:r w:rsidR="001C21BA">
          <w:rPr>
            <w:rFonts w:asciiTheme="minorHAnsi" w:eastAsiaTheme="minorEastAsia" w:hAnsiTheme="minorHAnsi" w:cstheme="minorBidi"/>
            <w:b w:val="0"/>
            <w:noProof/>
            <w:sz w:val="22"/>
            <w:szCs w:val="22"/>
            <w:lang w:val="en-US"/>
          </w:rPr>
          <w:tab/>
        </w:r>
        <w:r w:rsidR="001C21BA" w:rsidRPr="0030604F">
          <w:rPr>
            <w:rStyle w:val="Hyperlink"/>
            <w:noProof/>
          </w:rPr>
          <w:t>Component 3) of feature group 11-3 should not be included. UE performs the sub-slot based HARQ-ACK transmission according to RRC configuration.</w:t>
        </w:r>
      </w:hyperlink>
    </w:p>
    <w:p w14:paraId="52FC23CE"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498" w:history="1">
        <w:r w:rsidR="001C21BA" w:rsidRPr="0030604F">
          <w:rPr>
            <w:rStyle w:val="Hyperlink"/>
            <w:noProof/>
          </w:rPr>
          <w:t>Proposal 2</w:t>
        </w:r>
        <w:r w:rsidR="001C21BA">
          <w:rPr>
            <w:rFonts w:asciiTheme="minorHAnsi" w:eastAsiaTheme="minorEastAsia" w:hAnsiTheme="minorHAnsi" w:cstheme="minorBidi"/>
            <w:b w:val="0"/>
            <w:noProof/>
            <w:sz w:val="22"/>
            <w:szCs w:val="22"/>
            <w:lang w:val="en-US"/>
          </w:rPr>
          <w:tab/>
        </w:r>
        <w:r w:rsidR="001C21BA" w:rsidRPr="0030604F">
          <w:rPr>
            <w:rStyle w:val="Hyperlink"/>
            <w:noProof/>
          </w:rPr>
          <w:t>FG 12-1 is the prerequisite feature group of FG 11-4.</w:t>
        </w:r>
      </w:hyperlink>
    </w:p>
    <w:p w14:paraId="2DF671A0"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499" w:history="1">
        <w:r w:rsidR="001C21BA" w:rsidRPr="0030604F">
          <w:rPr>
            <w:rStyle w:val="Hyperlink"/>
            <w:noProof/>
          </w:rPr>
          <w:t>Proposal 3</w:t>
        </w:r>
        <w:r w:rsidR="001C21BA">
          <w:rPr>
            <w:rFonts w:asciiTheme="minorHAnsi" w:eastAsiaTheme="minorEastAsia" w:hAnsiTheme="minorHAnsi" w:cstheme="minorBidi"/>
            <w:b w:val="0"/>
            <w:noProof/>
            <w:sz w:val="22"/>
            <w:szCs w:val="22"/>
            <w:lang w:val="en-US"/>
          </w:rPr>
          <w:tab/>
        </w:r>
        <w:r w:rsidR="001C21BA" w:rsidRPr="0030604F">
          <w:rPr>
            <w:rStyle w:val="Hyperlink"/>
            <w:noProof/>
          </w:rPr>
          <w:t>For FG 11-4 component 4), there is no need to separate DL priority and UL priority.</w:t>
        </w:r>
      </w:hyperlink>
    </w:p>
    <w:p w14:paraId="6271CE28"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0" w:history="1">
        <w:r w:rsidR="001C21BA" w:rsidRPr="0030604F">
          <w:rPr>
            <w:rStyle w:val="Hyperlink"/>
            <w:noProof/>
          </w:rPr>
          <w:t>Proposal 4</w:t>
        </w:r>
        <w:r w:rsidR="001C21BA">
          <w:rPr>
            <w:rFonts w:asciiTheme="minorHAnsi" w:eastAsiaTheme="minorEastAsia" w:hAnsiTheme="minorHAnsi" w:cstheme="minorBidi"/>
            <w:b w:val="0"/>
            <w:noProof/>
            <w:sz w:val="22"/>
            <w:szCs w:val="22"/>
            <w:lang w:val="en-US"/>
          </w:rPr>
          <w:tab/>
        </w:r>
        <w:r w:rsidR="001C21BA" w:rsidRPr="0030604F">
          <w:rPr>
            <w:rStyle w:val="Hyperlink"/>
            <w:noProof/>
          </w:rPr>
          <w:t>For FG 11-4 component 4), DCI format 0_1/1_1 and DCI format 0_2/1_2 should be separated, with different dependency of FG 11-1.</w:t>
        </w:r>
      </w:hyperlink>
    </w:p>
    <w:p w14:paraId="42FEB5DD"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1" w:history="1">
        <w:r w:rsidR="001C21BA" w:rsidRPr="0030604F">
          <w:rPr>
            <w:rStyle w:val="Hyperlink"/>
            <w:noProof/>
          </w:rPr>
          <w:t>Proposal 5</w:t>
        </w:r>
        <w:r w:rsidR="001C21BA">
          <w:rPr>
            <w:rFonts w:asciiTheme="minorHAnsi" w:eastAsiaTheme="minorEastAsia" w:hAnsiTheme="minorHAnsi" w:cstheme="minorBidi"/>
            <w:b w:val="0"/>
            <w:noProof/>
            <w:sz w:val="22"/>
            <w:szCs w:val="22"/>
            <w:lang w:val="en-US"/>
          </w:rPr>
          <w:tab/>
        </w:r>
        <w:r w:rsidR="001C21BA" w:rsidRPr="0030604F">
          <w:rPr>
            <w:rStyle w:val="Hyperlink"/>
            <w:noProof/>
          </w:rPr>
          <w:t>FG 11-4 component 6) (in bracket) should not be introduced.</w:t>
        </w:r>
      </w:hyperlink>
    </w:p>
    <w:p w14:paraId="4093B740"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2" w:history="1">
        <w:r w:rsidR="001C21BA" w:rsidRPr="0030604F">
          <w:rPr>
            <w:rStyle w:val="Hyperlink"/>
            <w:noProof/>
          </w:rPr>
          <w:t>Proposal 6</w:t>
        </w:r>
        <w:r w:rsidR="001C21BA">
          <w:rPr>
            <w:rFonts w:asciiTheme="minorHAnsi" w:eastAsiaTheme="minorEastAsia" w:hAnsiTheme="minorHAnsi" w:cstheme="minorBidi"/>
            <w:b w:val="0"/>
            <w:noProof/>
            <w:sz w:val="22"/>
            <w:szCs w:val="22"/>
            <w:lang w:val="en-US"/>
          </w:rPr>
          <w:tab/>
        </w:r>
        <w:r w:rsidR="001C21BA" w:rsidRPr="0030604F">
          <w:rPr>
            <w:rStyle w:val="Hyperlink"/>
            <w:noProof/>
          </w:rPr>
          <w:t>FG [11-4x] is not introduced. FG 11-4 is revised to include the support of up to two sub-slot based HARQ-ACK codebooks.</w:t>
        </w:r>
      </w:hyperlink>
    </w:p>
    <w:p w14:paraId="7DE9F587"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3" w:history="1">
        <w:r w:rsidR="001C21BA" w:rsidRPr="0030604F">
          <w:rPr>
            <w:rStyle w:val="Hyperlink"/>
            <w:noProof/>
          </w:rPr>
          <w:t>Proposal 7</w:t>
        </w:r>
        <w:r w:rsidR="001C21BA">
          <w:rPr>
            <w:rFonts w:asciiTheme="minorHAnsi" w:eastAsiaTheme="minorEastAsia" w:hAnsiTheme="minorHAnsi" w:cstheme="minorBidi"/>
            <w:b w:val="0"/>
            <w:noProof/>
            <w:sz w:val="22"/>
            <w:szCs w:val="22"/>
            <w:lang w:val="en-US"/>
          </w:rPr>
          <w:tab/>
        </w:r>
        <w:r w:rsidR="001C21BA" w:rsidRPr="0030604F">
          <w:rPr>
            <w:rStyle w:val="Hyperlink"/>
            <w:noProof/>
          </w:rPr>
          <w:t xml:space="preserve">FG [11-7a] is introduced with clarification that for a UE indicating </w:t>
        </w:r>
        <w:r w:rsidR="001C21BA" w:rsidRPr="0030604F">
          <w:rPr>
            <w:rStyle w:val="Hyperlink"/>
            <w:i/>
            <w:iCs/>
            <w:noProof/>
          </w:rPr>
          <w:t>pa-PhaseDiscontinuityImpacts</w:t>
        </w:r>
        <w:r w:rsidR="001C21BA" w:rsidRPr="0030604F">
          <w:rPr>
            <w:rStyle w:val="Hyperlink"/>
            <w:noProof/>
          </w:rPr>
          <w:t xml:space="preserve"> but not FG [11-7a],  UL CI cannot be applied in the scenario of intra-band UL CA.</w:t>
        </w:r>
      </w:hyperlink>
    </w:p>
    <w:p w14:paraId="137D2FBC"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4" w:history="1">
        <w:r w:rsidR="001C21BA" w:rsidRPr="0030604F">
          <w:rPr>
            <w:rStyle w:val="Hyperlink"/>
            <w:noProof/>
          </w:rPr>
          <w:t>Proposal 8</w:t>
        </w:r>
        <w:r w:rsidR="001C21BA">
          <w:rPr>
            <w:rFonts w:asciiTheme="minorHAnsi" w:eastAsiaTheme="minorEastAsia" w:hAnsiTheme="minorHAnsi" w:cstheme="minorBidi"/>
            <w:b w:val="0"/>
            <w:noProof/>
            <w:sz w:val="22"/>
            <w:szCs w:val="22"/>
            <w:lang w:val="en-US"/>
          </w:rPr>
          <w:tab/>
        </w:r>
        <w:r w:rsidR="001C21BA" w:rsidRPr="0030604F">
          <w:rPr>
            <w:rStyle w:val="Hyperlink"/>
            <w:noProof/>
          </w:rPr>
          <w:t>Preferably component 2) and 3) of FG 11-9 are not introduced.</w:t>
        </w:r>
      </w:hyperlink>
    </w:p>
    <w:p w14:paraId="449D0428"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5" w:history="1">
        <w:r w:rsidR="001C21BA" w:rsidRPr="0030604F">
          <w:rPr>
            <w:rStyle w:val="Hyperlink"/>
            <w:noProof/>
          </w:rPr>
          <w:t>Proposal 9</w:t>
        </w:r>
        <w:r w:rsidR="001C21BA">
          <w:rPr>
            <w:rFonts w:asciiTheme="minorHAnsi" w:eastAsiaTheme="minorEastAsia" w:hAnsiTheme="minorHAnsi" w:cstheme="minorBidi"/>
            <w:b w:val="0"/>
            <w:noProof/>
            <w:sz w:val="22"/>
            <w:szCs w:val="22"/>
            <w:lang w:val="en-US"/>
          </w:rPr>
          <w:tab/>
        </w:r>
        <w:r w:rsidR="001C21BA" w:rsidRPr="0030604F">
          <w:rPr>
            <w:rStyle w:val="Hyperlink"/>
            <w:noProof/>
          </w:rPr>
          <w:t xml:space="preserve">If component 2) of FG 11-9 is introduced, the supported </w:t>
        </w:r>
        <w:r w:rsidR="001C21BA" w:rsidRPr="0030604F">
          <w:rPr>
            <w:rStyle w:val="Hyperlink"/>
            <w:rFonts w:eastAsia="SimSun"/>
            <w:noProof/>
          </w:rPr>
          <w:t>maximum number of configured grant configurations in a BWP of a serving cell is selected from {1, 2, 4, 8, 12}.</w:t>
        </w:r>
      </w:hyperlink>
    </w:p>
    <w:p w14:paraId="56B54999"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6" w:history="1">
        <w:r w:rsidR="001C21BA" w:rsidRPr="0030604F">
          <w:rPr>
            <w:rStyle w:val="Hyperlink"/>
            <w:noProof/>
          </w:rPr>
          <w:t>Proposal 10</w:t>
        </w:r>
        <w:r w:rsidR="001C21BA">
          <w:rPr>
            <w:rFonts w:asciiTheme="minorHAnsi" w:eastAsiaTheme="minorEastAsia" w:hAnsiTheme="minorHAnsi" w:cstheme="minorBidi"/>
            <w:b w:val="0"/>
            <w:noProof/>
            <w:sz w:val="22"/>
            <w:szCs w:val="22"/>
            <w:lang w:val="en-US"/>
          </w:rPr>
          <w:tab/>
        </w:r>
        <w:r w:rsidR="001C21BA" w:rsidRPr="0030604F">
          <w:rPr>
            <w:rStyle w:val="Hyperlink"/>
            <w:noProof/>
          </w:rPr>
          <w:t xml:space="preserve">If </w:t>
        </w:r>
        <w:r w:rsidR="001C21BA" w:rsidRPr="0030604F">
          <w:rPr>
            <w:rStyle w:val="Hyperlink"/>
            <w:rFonts w:eastAsia="SimSun"/>
            <w:noProof/>
          </w:rPr>
          <w:t>Component 3) of FG 11-9 is introduced, component 3) is updated to: “3) Supported maximum number of configured grant configurations across all serving cells in a cell group is 24.”</w:t>
        </w:r>
      </w:hyperlink>
    </w:p>
    <w:p w14:paraId="03D54EF9" w14:textId="77777777" w:rsidR="001C21BA" w:rsidRDefault="00C95510">
      <w:pPr>
        <w:pStyle w:val="TableofFigures"/>
        <w:tabs>
          <w:tab w:val="right" w:leader="dot" w:pos="9629"/>
        </w:tabs>
        <w:rPr>
          <w:rFonts w:asciiTheme="minorHAnsi" w:eastAsiaTheme="minorEastAsia" w:hAnsiTheme="minorHAnsi" w:cstheme="minorBidi"/>
          <w:b w:val="0"/>
          <w:noProof/>
          <w:sz w:val="22"/>
          <w:szCs w:val="22"/>
          <w:lang w:val="en-US"/>
        </w:rPr>
      </w:pPr>
      <w:hyperlink w:anchor="_Toc37442507" w:history="1">
        <w:r w:rsidR="001C21BA" w:rsidRPr="0030604F">
          <w:rPr>
            <w:rStyle w:val="Hyperlink"/>
            <w:noProof/>
          </w:rPr>
          <w:t>Proposal 11</w:t>
        </w:r>
        <w:r w:rsidR="001C21BA">
          <w:rPr>
            <w:rFonts w:asciiTheme="minorHAnsi" w:eastAsiaTheme="minorEastAsia" w:hAnsiTheme="minorHAnsi" w:cstheme="minorBidi"/>
            <w:b w:val="0"/>
            <w:noProof/>
            <w:sz w:val="22"/>
            <w:szCs w:val="22"/>
            <w:lang w:val="en-US"/>
          </w:rPr>
          <w:tab/>
        </w:r>
        <w:r w:rsidR="001C21BA" w:rsidRPr="0030604F">
          <w:rPr>
            <w:rStyle w:val="Hyperlink"/>
            <w:noProof/>
          </w:rPr>
          <w:t>Two FG are defined for SPS release, with release by DCI format 1_2 having prerequisite of FG 11-1.</w:t>
        </w:r>
      </w:hyperlink>
    </w:p>
    <w:p w14:paraId="5B2CD728" w14:textId="3B68C317" w:rsidR="008E065E" w:rsidRPr="00CE0424" w:rsidRDefault="006E1C82" w:rsidP="00EA4A60">
      <w:pPr>
        <w:pStyle w:val="BodyText"/>
        <w:rPr>
          <w:b/>
          <w:bCs/>
        </w:rPr>
      </w:pPr>
      <w:r>
        <w:rPr>
          <w:b/>
          <w:bCs/>
          <w:lang w:val="en-US"/>
        </w:rPr>
        <w:fldChar w:fldCharType="end"/>
      </w:r>
      <w:r w:rsidRPr="00CE0424">
        <w:rPr>
          <w:b/>
          <w:bCs/>
        </w:rPr>
        <w:t xml:space="preserve"> </w:t>
      </w:r>
    </w:p>
    <w:p w14:paraId="19A5459C" w14:textId="77777777" w:rsidR="00F507D1" w:rsidRPr="00CE0424" w:rsidRDefault="00F507D1" w:rsidP="00CE0424">
      <w:pPr>
        <w:pStyle w:val="Heading1"/>
      </w:pPr>
      <w:bookmarkStart w:id="26" w:name="_In-sequence_SDU_delivery"/>
      <w:bookmarkEnd w:id="26"/>
      <w:r w:rsidRPr="00CE0424">
        <w:t>References</w:t>
      </w:r>
    </w:p>
    <w:p w14:paraId="746C358E" w14:textId="5835DE4F" w:rsidR="005F3025" w:rsidRPr="00CE0424" w:rsidRDefault="004240BC" w:rsidP="00311702">
      <w:pPr>
        <w:pStyle w:val="Reference"/>
      </w:pPr>
      <w:bookmarkStart w:id="27" w:name="_Ref174151459"/>
      <w:bookmarkStart w:id="28" w:name="_Ref189809556"/>
      <w:r w:rsidRPr="004240BC">
        <w:t>R1-2001484</w:t>
      </w:r>
      <w:r w:rsidR="005F3025" w:rsidRPr="00CE0424">
        <w:t xml:space="preserve">, </w:t>
      </w:r>
      <w:r>
        <w:t>“</w:t>
      </w:r>
      <w:r>
        <w:rPr>
          <w:rFonts w:eastAsia="Malgun Gothic"/>
          <w:lang w:val="en-US" w:eastAsia="en-US"/>
        </w:rPr>
        <w:t>RAN1 UE features list for Rel-16 NR after RAN1#100-E</w:t>
      </w:r>
      <w:r>
        <w:t>”</w:t>
      </w:r>
      <w:r w:rsidR="005F3025" w:rsidRPr="00CE0424">
        <w:t xml:space="preserve">, </w:t>
      </w:r>
      <w:r w:rsidRPr="004240BC">
        <w:t>AT&amp;T, NTT DOCOMO, INC.</w:t>
      </w:r>
      <w:r w:rsidR="005F3025" w:rsidRPr="00CE0424">
        <w:t xml:space="preserve">, </w:t>
      </w:r>
      <w:r w:rsidRPr="004240BC">
        <w:t>3GPP TSG RAN WG1 #100-e</w:t>
      </w:r>
      <w:r w:rsidR="005F3025" w:rsidRPr="00CE0424">
        <w:t xml:space="preserve">, </w:t>
      </w:r>
      <w:r w:rsidRPr="004240BC">
        <w:t>e-Meeting, February 24th – March 6th, 2020</w:t>
      </w:r>
      <w:r>
        <w:t>.</w:t>
      </w:r>
    </w:p>
    <w:p w14:paraId="764F7827" w14:textId="65AB8004" w:rsidR="005F3025" w:rsidRDefault="006C4871" w:rsidP="005C604D">
      <w:pPr>
        <w:pStyle w:val="Reference"/>
      </w:pPr>
      <w:r w:rsidRPr="006C4871">
        <w:t>3GPP TS 38.306 V15.9.0 (2020-03)</w:t>
      </w:r>
      <w:r>
        <w:t>, “User Equipment (UE) radio access capabilities (Release 15)”.</w:t>
      </w:r>
    </w:p>
    <w:bookmarkEnd w:id="27"/>
    <w:bookmarkEnd w:id="28"/>
    <w:p w14:paraId="61C15BD7" w14:textId="7C7AA48D" w:rsidR="003A7EF3" w:rsidRDefault="003A7EF3" w:rsidP="00CE0424">
      <w:pPr>
        <w:pStyle w:val="BodyText"/>
      </w:pPr>
    </w:p>
    <w:p w14:paraId="0807AD09" w14:textId="3525681E" w:rsidR="003715DA" w:rsidRDefault="003715DA" w:rsidP="00CE0424">
      <w:pPr>
        <w:pStyle w:val="BodyText"/>
      </w:pPr>
    </w:p>
    <w:p w14:paraId="723FB4C1" w14:textId="564DF449" w:rsidR="003715DA" w:rsidRDefault="003715DA" w:rsidP="003715DA">
      <w:pPr>
        <w:pStyle w:val="Heading1"/>
      </w:pPr>
      <w:r>
        <w:t>Appendix. Relevant UE Capability Parameters in Rel-15</w:t>
      </w:r>
    </w:p>
    <w:p w14:paraId="07A18AD6" w14:textId="03B07AF2" w:rsidR="006C4871" w:rsidRDefault="006C4871" w:rsidP="006C4871">
      <w:pPr>
        <w:pStyle w:val="BodyText"/>
      </w:pPr>
      <w:r>
        <w:t xml:space="preserve">A few relevant </w:t>
      </w:r>
      <w:r w:rsidRPr="006C4871">
        <w:t xml:space="preserve">UE </w:t>
      </w:r>
      <w:r>
        <w:t>c</w:t>
      </w:r>
      <w:r w:rsidRPr="006C4871">
        <w:t xml:space="preserve">apability </w:t>
      </w:r>
      <w:r>
        <w:t>p</w:t>
      </w:r>
      <w:r w:rsidRPr="006C4871">
        <w:t>arameters in Rel-15</w:t>
      </w:r>
      <w:r>
        <w:t xml:space="preserve"> are copied below, according to TS 38.306 V15.9.0 [2].</w:t>
      </w:r>
    </w:p>
    <w:p w14:paraId="246946EB" w14:textId="77777777" w:rsidR="006C4871" w:rsidRPr="006C4871" w:rsidRDefault="006C4871" w:rsidP="006C4871">
      <w:pPr>
        <w:pStyle w:val="BodyText"/>
      </w:pPr>
    </w:p>
    <w:tbl>
      <w:tblPr>
        <w:tblStyle w:val="TableGrid"/>
        <w:tblW w:w="0" w:type="auto"/>
        <w:tblLook w:val="04A0" w:firstRow="1" w:lastRow="0" w:firstColumn="1" w:lastColumn="0" w:noHBand="0" w:noVBand="1"/>
      </w:tblPr>
      <w:tblGrid>
        <w:gridCol w:w="9629"/>
      </w:tblGrid>
      <w:tr w:rsidR="003715DA" w14:paraId="449CB364" w14:textId="77777777" w:rsidTr="003715DA">
        <w:tc>
          <w:tcPr>
            <w:tcW w:w="9629" w:type="dxa"/>
          </w:tcPr>
          <w:p w14:paraId="2ECC87B6" w14:textId="77777777" w:rsidR="003715DA" w:rsidRPr="00EC530E" w:rsidRDefault="003715DA" w:rsidP="003715DA">
            <w:pPr>
              <w:pStyle w:val="TAL"/>
              <w:jc w:val="both"/>
              <w:rPr>
                <w:rFonts w:cs="Arial"/>
                <w:b/>
                <w:bCs/>
                <w:i/>
                <w:iCs/>
                <w:szCs w:val="18"/>
              </w:rPr>
            </w:pPr>
            <w:proofErr w:type="spellStart"/>
            <w:r w:rsidRPr="00EC530E">
              <w:rPr>
                <w:rFonts w:cs="Arial"/>
                <w:b/>
                <w:bCs/>
                <w:i/>
                <w:iCs/>
                <w:szCs w:val="18"/>
              </w:rPr>
              <w:lastRenderedPageBreak/>
              <w:t>multipleConfiguredGrants</w:t>
            </w:r>
            <w:proofErr w:type="spellEnd"/>
          </w:p>
          <w:p w14:paraId="6C9C5603" w14:textId="450E20B0" w:rsidR="003715DA" w:rsidRPr="00CB7D97" w:rsidRDefault="003715DA" w:rsidP="003715DA">
            <w:pPr>
              <w:pStyle w:val="BodyText"/>
              <w:rPr>
                <w:sz w:val="18"/>
                <w:szCs w:val="18"/>
              </w:rPr>
            </w:pPr>
            <w:r w:rsidRPr="00CB7D97">
              <w:rPr>
                <w:sz w:val="18"/>
                <w:szCs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r>
    </w:tbl>
    <w:p w14:paraId="7183D904" w14:textId="5192CF2A" w:rsidR="003715DA" w:rsidRDefault="003715DA" w:rsidP="003715DA">
      <w:pPr>
        <w:pStyle w:val="BodyText"/>
      </w:pPr>
    </w:p>
    <w:p w14:paraId="082266B6" w14:textId="2ACB0F89" w:rsidR="00CB7D97" w:rsidRDefault="00CB7D97" w:rsidP="003715DA">
      <w:pPr>
        <w:pStyle w:val="BodyText"/>
      </w:pPr>
    </w:p>
    <w:tbl>
      <w:tblPr>
        <w:tblStyle w:val="TableGrid"/>
        <w:tblW w:w="0" w:type="auto"/>
        <w:tblLook w:val="04A0" w:firstRow="1" w:lastRow="0" w:firstColumn="1" w:lastColumn="0" w:noHBand="0" w:noVBand="1"/>
      </w:tblPr>
      <w:tblGrid>
        <w:gridCol w:w="9629"/>
      </w:tblGrid>
      <w:tr w:rsidR="00CB7D97" w14:paraId="7DBCD6E7" w14:textId="77777777" w:rsidTr="00065CEE">
        <w:tc>
          <w:tcPr>
            <w:tcW w:w="9629" w:type="dxa"/>
          </w:tcPr>
          <w:p w14:paraId="1F6893A1" w14:textId="77777777" w:rsidR="00CB7D97" w:rsidRPr="00EC530E" w:rsidRDefault="00CB7D97" w:rsidP="00065CEE">
            <w:pPr>
              <w:pStyle w:val="TAL"/>
              <w:rPr>
                <w:b/>
                <w:i/>
              </w:rPr>
            </w:pPr>
            <w:proofErr w:type="spellStart"/>
            <w:r w:rsidRPr="00EC530E">
              <w:rPr>
                <w:b/>
                <w:i/>
              </w:rPr>
              <w:t>downlinkSPS</w:t>
            </w:r>
            <w:proofErr w:type="spellEnd"/>
          </w:p>
          <w:p w14:paraId="09F45711" w14:textId="77777777" w:rsidR="00CB7D97" w:rsidRPr="00EC530E" w:rsidRDefault="00CB7D97" w:rsidP="00065CEE">
            <w:pPr>
              <w:pStyle w:val="TAL"/>
              <w:jc w:val="both"/>
              <w:rPr>
                <w:rFonts w:cs="Arial"/>
                <w:b/>
                <w:bCs/>
                <w:i/>
                <w:iCs/>
                <w:szCs w:val="18"/>
              </w:rPr>
            </w:pPr>
            <w:r w:rsidRPr="00EC530E">
              <w:t>Indicates whether the UE supports PDSCH reception based on semi-persistent scheduling.</w:t>
            </w:r>
          </w:p>
        </w:tc>
      </w:tr>
    </w:tbl>
    <w:p w14:paraId="4B1FD62F" w14:textId="77777777" w:rsidR="00CB7D97" w:rsidRDefault="00CB7D97" w:rsidP="003715DA">
      <w:pPr>
        <w:pStyle w:val="BodyText"/>
      </w:pPr>
    </w:p>
    <w:p w14:paraId="24C86394" w14:textId="4E7600BC" w:rsidR="00CB7D97" w:rsidRDefault="00CB7D97" w:rsidP="003715DA">
      <w:pPr>
        <w:pStyle w:val="BodyText"/>
      </w:pPr>
    </w:p>
    <w:p w14:paraId="200702D7" w14:textId="4804C414" w:rsidR="00CB7D97" w:rsidRDefault="00CB7D97" w:rsidP="003715DA">
      <w:pPr>
        <w:pStyle w:val="BodyText"/>
      </w:pPr>
    </w:p>
    <w:p w14:paraId="79E30229" w14:textId="77777777" w:rsidR="00CB7D97" w:rsidRPr="00CE0424" w:rsidRDefault="00CB7D97" w:rsidP="003715DA">
      <w:pPr>
        <w:pStyle w:val="BodyText"/>
      </w:pPr>
    </w:p>
    <w:sectPr w:rsidR="00CB7D97"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BD2FE" w14:textId="77777777" w:rsidR="00C95510" w:rsidRDefault="00C95510">
      <w:r>
        <w:separator/>
      </w:r>
    </w:p>
  </w:endnote>
  <w:endnote w:type="continuationSeparator" w:id="0">
    <w:p w14:paraId="7753D419" w14:textId="77777777" w:rsidR="00C95510" w:rsidRDefault="00C9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6CF85" w14:textId="77777777" w:rsidR="00703358" w:rsidRDefault="007033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C694B" w14:textId="77777777" w:rsidR="00C95510" w:rsidRDefault="00C95510">
      <w:r>
        <w:separator/>
      </w:r>
    </w:p>
  </w:footnote>
  <w:footnote w:type="continuationSeparator" w:id="0">
    <w:p w14:paraId="52258A71" w14:textId="77777777" w:rsidR="00C95510" w:rsidRDefault="00C9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DA458" w14:textId="77777777" w:rsidR="00703358" w:rsidRDefault="007033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9304E"/>
    <w:multiLevelType w:val="hybridMultilevel"/>
    <w:tmpl w:val="9998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670D26"/>
    <w:multiLevelType w:val="hybridMultilevel"/>
    <w:tmpl w:val="4D0403A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636072"/>
    <w:multiLevelType w:val="hybridMultilevel"/>
    <w:tmpl w:val="86DAC316"/>
    <w:lvl w:ilvl="0" w:tplc="2E4ED00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6A2504"/>
    <w:multiLevelType w:val="hybridMultilevel"/>
    <w:tmpl w:val="A656A6EC"/>
    <w:lvl w:ilvl="0" w:tplc="1CC89B24">
      <w:start w:val="3"/>
      <w:numFmt w:val="bullet"/>
      <w:lvlText w:val=""/>
      <w:lvlJc w:val="left"/>
      <w:pPr>
        <w:ind w:left="360" w:hanging="360"/>
      </w:pPr>
      <w:rPr>
        <w:rFonts w:ascii="Wingdings" w:eastAsia="SimSun"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9"/>
  </w:num>
  <w:num w:numId="19">
    <w:abstractNumId w:val="6"/>
  </w:num>
  <w:num w:numId="20">
    <w:abstractNumId w:val="29"/>
  </w:num>
  <w:num w:numId="21">
    <w:abstractNumId w:val="14"/>
  </w:num>
  <w:num w:numId="22">
    <w:abstractNumId w:val="28"/>
  </w:num>
  <w:num w:numId="23">
    <w:abstractNumId w:val="15"/>
  </w:num>
  <w:num w:numId="24">
    <w:abstractNumId w:val="5"/>
  </w:num>
  <w:num w:numId="25">
    <w:abstractNumId w:val="31"/>
  </w:num>
  <w:num w:numId="26">
    <w:abstractNumId w:val="7"/>
  </w:num>
  <w:num w:numId="2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1"/>
  </w:num>
  <w:num w:numId="30">
    <w:abstractNumId w:val="27"/>
  </w:num>
  <w:num w:numId="31">
    <w:abstractNumId w:val="3"/>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446"/>
    <w:rsid w:val="00006896"/>
    <w:rsid w:val="00007CDC"/>
    <w:rsid w:val="00010804"/>
    <w:rsid w:val="00011B28"/>
    <w:rsid w:val="00015D15"/>
    <w:rsid w:val="0002564D"/>
    <w:rsid w:val="00025ECA"/>
    <w:rsid w:val="000325B8"/>
    <w:rsid w:val="00034C15"/>
    <w:rsid w:val="00036BA1"/>
    <w:rsid w:val="000422E2"/>
    <w:rsid w:val="00042F22"/>
    <w:rsid w:val="000444EF"/>
    <w:rsid w:val="0004656C"/>
    <w:rsid w:val="00047260"/>
    <w:rsid w:val="0005011E"/>
    <w:rsid w:val="00052A07"/>
    <w:rsid w:val="000534E3"/>
    <w:rsid w:val="0005606A"/>
    <w:rsid w:val="00057117"/>
    <w:rsid w:val="000616E7"/>
    <w:rsid w:val="0006487E"/>
    <w:rsid w:val="0006489F"/>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26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43"/>
    <w:rsid w:val="00124314"/>
    <w:rsid w:val="00126B4A"/>
    <w:rsid w:val="00127D7D"/>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1BA"/>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A94"/>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0F55"/>
    <w:rsid w:val="00301CE6"/>
    <w:rsid w:val="0030256B"/>
    <w:rsid w:val="0030501F"/>
    <w:rsid w:val="00307BA1"/>
    <w:rsid w:val="00311702"/>
    <w:rsid w:val="00311E82"/>
    <w:rsid w:val="00313FD6"/>
    <w:rsid w:val="003143BD"/>
    <w:rsid w:val="00315363"/>
    <w:rsid w:val="003203ED"/>
    <w:rsid w:val="00322C9F"/>
    <w:rsid w:val="00324D23"/>
    <w:rsid w:val="00325813"/>
    <w:rsid w:val="00331751"/>
    <w:rsid w:val="00334579"/>
    <w:rsid w:val="00335858"/>
    <w:rsid w:val="00336BDA"/>
    <w:rsid w:val="00342BD7"/>
    <w:rsid w:val="00346DB5"/>
    <w:rsid w:val="003477B1"/>
    <w:rsid w:val="00352896"/>
    <w:rsid w:val="00357380"/>
    <w:rsid w:val="003602D9"/>
    <w:rsid w:val="003604CE"/>
    <w:rsid w:val="00370E47"/>
    <w:rsid w:val="003715D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0BC"/>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47FD"/>
    <w:rsid w:val="0047546E"/>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59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3EEF"/>
    <w:rsid w:val="005E5B81"/>
    <w:rsid w:val="005F2CB1"/>
    <w:rsid w:val="005F3025"/>
    <w:rsid w:val="005F544E"/>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C56"/>
    <w:rsid w:val="006C03B8"/>
    <w:rsid w:val="006C487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358"/>
    <w:rsid w:val="0070346E"/>
    <w:rsid w:val="00704EDB"/>
    <w:rsid w:val="00706101"/>
    <w:rsid w:val="00707072"/>
    <w:rsid w:val="00707D61"/>
    <w:rsid w:val="00712287"/>
    <w:rsid w:val="00712772"/>
    <w:rsid w:val="00713C28"/>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1C8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046"/>
    <w:rsid w:val="00860232"/>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7"/>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5DA"/>
    <w:rsid w:val="00990630"/>
    <w:rsid w:val="009908DA"/>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FC9"/>
    <w:rsid w:val="00A031D8"/>
    <w:rsid w:val="00A048A8"/>
    <w:rsid w:val="00A04F49"/>
    <w:rsid w:val="00A052E3"/>
    <w:rsid w:val="00A13E54"/>
    <w:rsid w:val="00A15E08"/>
    <w:rsid w:val="00A17F63"/>
    <w:rsid w:val="00A2193B"/>
    <w:rsid w:val="00A2351A"/>
    <w:rsid w:val="00A264A9"/>
    <w:rsid w:val="00A26DCF"/>
    <w:rsid w:val="00A27785"/>
    <w:rsid w:val="00A30187"/>
    <w:rsid w:val="00A3448A"/>
    <w:rsid w:val="00A36297"/>
    <w:rsid w:val="00A41E2B"/>
    <w:rsid w:val="00A45B74"/>
    <w:rsid w:val="00A52E1D"/>
    <w:rsid w:val="00A575C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E5071"/>
    <w:rsid w:val="00AF1C5D"/>
    <w:rsid w:val="00AF42D7"/>
    <w:rsid w:val="00AF5552"/>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4EFE"/>
    <w:rsid w:val="00B664C7"/>
    <w:rsid w:val="00B739F6"/>
    <w:rsid w:val="00B81A6C"/>
    <w:rsid w:val="00B85DE5"/>
    <w:rsid w:val="00B87F10"/>
    <w:rsid w:val="00B90F73"/>
    <w:rsid w:val="00B93B59"/>
    <w:rsid w:val="00B9406A"/>
    <w:rsid w:val="00BA2280"/>
    <w:rsid w:val="00BA2A08"/>
    <w:rsid w:val="00BA56D2"/>
    <w:rsid w:val="00BA76E0"/>
    <w:rsid w:val="00BB2A25"/>
    <w:rsid w:val="00BB51E9"/>
    <w:rsid w:val="00BC0FDC"/>
    <w:rsid w:val="00BC3053"/>
    <w:rsid w:val="00BC4D2E"/>
    <w:rsid w:val="00BD4165"/>
    <w:rsid w:val="00BD48AC"/>
    <w:rsid w:val="00BD5F1A"/>
    <w:rsid w:val="00BE1234"/>
    <w:rsid w:val="00BE2FA6"/>
    <w:rsid w:val="00BE333F"/>
    <w:rsid w:val="00BE7406"/>
    <w:rsid w:val="00BE7603"/>
    <w:rsid w:val="00BF3279"/>
    <w:rsid w:val="00BF40C1"/>
    <w:rsid w:val="00BF74C7"/>
    <w:rsid w:val="00C015F1"/>
    <w:rsid w:val="00C01F33"/>
    <w:rsid w:val="00C02CC6"/>
    <w:rsid w:val="00C040F7"/>
    <w:rsid w:val="00C044AB"/>
    <w:rsid w:val="00C05706"/>
    <w:rsid w:val="00C07377"/>
    <w:rsid w:val="00C0751C"/>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29"/>
    <w:rsid w:val="00C81568"/>
    <w:rsid w:val="00C868DA"/>
    <w:rsid w:val="00C9027A"/>
    <w:rsid w:val="00C9068E"/>
    <w:rsid w:val="00C93814"/>
    <w:rsid w:val="00C93C4B"/>
    <w:rsid w:val="00C944AB"/>
    <w:rsid w:val="00C95510"/>
    <w:rsid w:val="00C95B40"/>
    <w:rsid w:val="00CA1ED8"/>
    <w:rsid w:val="00CB1F63"/>
    <w:rsid w:val="00CB7170"/>
    <w:rsid w:val="00CB7D97"/>
    <w:rsid w:val="00CC040E"/>
    <w:rsid w:val="00CC111F"/>
    <w:rsid w:val="00CC2011"/>
    <w:rsid w:val="00CC3EA0"/>
    <w:rsid w:val="00CC765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557"/>
    <w:rsid w:val="00D546FF"/>
    <w:rsid w:val="00D55AD5"/>
    <w:rsid w:val="00D56E6E"/>
    <w:rsid w:val="00D576CA"/>
    <w:rsid w:val="00D6198B"/>
    <w:rsid w:val="00D61AF5"/>
    <w:rsid w:val="00D652B5"/>
    <w:rsid w:val="00D66155"/>
    <w:rsid w:val="00D708B0"/>
    <w:rsid w:val="00D75C6B"/>
    <w:rsid w:val="00D77B1D"/>
    <w:rsid w:val="00D8021F"/>
    <w:rsid w:val="00D80383"/>
    <w:rsid w:val="00D823C6"/>
    <w:rsid w:val="00D8327F"/>
    <w:rsid w:val="00D86CA3"/>
    <w:rsid w:val="00D871CE"/>
    <w:rsid w:val="00D9196D"/>
    <w:rsid w:val="00D92982"/>
    <w:rsid w:val="00D974E9"/>
    <w:rsid w:val="00DA305E"/>
    <w:rsid w:val="00DA5417"/>
    <w:rsid w:val="00DA56E8"/>
    <w:rsid w:val="00DB0A9F"/>
    <w:rsid w:val="00DB377D"/>
    <w:rsid w:val="00DB3CA7"/>
    <w:rsid w:val="00DC2D36"/>
    <w:rsid w:val="00DC53EF"/>
    <w:rsid w:val="00DE5608"/>
    <w:rsid w:val="00DE58D0"/>
    <w:rsid w:val="00DE654F"/>
    <w:rsid w:val="00DF0B6E"/>
    <w:rsid w:val="00DF15E0"/>
    <w:rsid w:val="00DF22E0"/>
    <w:rsid w:val="00DF37A0"/>
    <w:rsid w:val="00E06C8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0AF"/>
    <w:rsid w:val="00E758EC"/>
    <w:rsid w:val="00E8234C"/>
    <w:rsid w:val="00E83AA9"/>
    <w:rsid w:val="00E85928"/>
    <w:rsid w:val="00E87822"/>
    <w:rsid w:val="00E90395"/>
    <w:rsid w:val="00E90E49"/>
    <w:rsid w:val="00E917F9"/>
    <w:rsid w:val="00E9291C"/>
    <w:rsid w:val="00E93FFE"/>
    <w:rsid w:val="00E94F8A"/>
    <w:rsid w:val="00EA4A60"/>
    <w:rsid w:val="00EA7A41"/>
    <w:rsid w:val="00EB077B"/>
    <w:rsid w:val="00EB4EA2"/>
    <w:rsid w:val="00EB5CA8"/>
    <w:rsid w:val="00EC24D5"/>
    <w:rsid w:val="00EC27C6"/>
    <w:rsid w:val="00EC4207"/>
    <w:rsid w:val="00EC5653"/>
    <w:rsid w:val="00EC71CE"/>
    <w:rsid w:val="00ED1006"/>
    <w:rsid w:val="00EF18FE"/>
    <w:rsid w:val="00EF56B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3D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BBC"/>
    <w:rsid w:val="00FC7429"/>
    <w:rsid w:val="00FD07F6"/>
    <w:rsid w:val="00FD1EC8"/>
    <w:rsid w:val="00FD47ED"/>
    <w:rsid w:val="00FD74DB"/>
    <w:rsid w:val="00FD7660"/>
    <w:rsid w:val="00FE0655"/>
    <w:rsid w:val="00FE2365"/>
    <w:rsid w:val="00FE37D7"/>
    <w:rsid w:val="00FE4C7B"/>
    <w:rsid w:val="00FE7336"/>
    <w:rsid w:val="00FE787C"/>
    <w:rsid w:val="00FF3D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55C55"/>
  <w15:chartTrackingRefBased/>
  <w15:docId w15:val="{19C143D6-8582-4426-A59C-5FB1B3AB3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6C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06C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06C89"/>
    <w:pPr>
      <w:pBdr>
        <w:top w:val="none" w:sz="0" w:space="0" w:color="auto"/>
      </w:pBdr>
      <w:spacing w:before="180"/>
      <w:outlineLvl w:val="1"/>
    </w:pPr>
    <w:rPr>
      <w:sz w:val="32"/>
    </w:rPr>
  </w:style>
  <w:style w:type="paragraph" w:styleId="Heading3">
    <w:name w:val="heading 3"/>
    <w:basedOn w:val="Heading2"/>
    <w:next w:val="Normal"/>
    <w:link w:val="Heading3Char"/>
    <w:qFormat/>
    <w:rsid w:val="00E06C89"/>
    <w:pPr>
      <w:spacing w:before="120"/>
      <w:outlineLvl w:val="2"/>
    </w:pPr>
    <w:rPr>
      <w:sz w:val="28"/>
    </w:rPr>
  </w:style>
  <w:style w:type="paragraph" w:styleId="Heading4">
    <w:name w:val="heading 4"/>
    <w:basedOn w:val="Heading3"/>
    <w:next w:val="Normal"/>
    <w:link w:val="Heading4Char"/>
    <w:qFormat/>
    <w:rsid w:val="00E06C89"/>
    <w:pPr>
      <w:ind w:left="1418" w:hanging="1418"/>
      <w:outlineLvl w:val="3"/>
    </w:pPr>
    <w:rPr>
      <w:sz w:val="24"/>
    </w:rPr>
  </w:style>
  <w:style w:type="paragraph" w:styleId="Heading5">
    <w:name w:val="heading 5"/>
    <w:basedOn w:val="Heading4"/>
    <w:next w:val="Normal"/>
    <w:link w:val="Heading5Char"/>
    <w:qFormat/>
    <w:rsid w:val="00E06C89"/>
    <w:pPr>
      <w:ind w:left="1701" w:hanging="1701"/>
      <w:outlineLvl w:val="4"/>
    </w:pPr>
    <w:rPr>
      <w:sz w:val="22"/>
    </w:rPr>
  </w:style>
  <w:style w:type="paragraph" w:styleId="Heading6">
    <w:name w:val="heading 6"/>
    <w:basedOn w:val="H6"/>
    <w:next w:val="Normal"/>
    <w:link w:val="Heading6Char"/>
    <w:qFormat/>
    <w:rsid w:val="00E06C89"/>
    <w:pPr>
      <w:outlineLvl w:val="5"/>
    </w:pPr>
  </w:style>
  <w:style w:type="paragraph" w:styleId="Heading7">
    <w:name w:val="heading 7"/>
    <w:basedOn w:val="H6"/>
    <w:next w:val="Normal"/>
    <w:link w:val="Heading7Char"/>
    <w:qFormat/>
    <w:rsid w:val="00E06C89"/>
    <w:pPr>
      <w:outlineLvl w:val="6"/>
    </w:pPr>
  </w:style>
  <w:style w:type="paragraph" w:styleId="Heading8">
    <w:name w:val="heading 8"/>
    <w:basedOn w:val="Heading1"/>
    <w:next w:val="Normal"/>
    <w:link w:val="Heading8Char"/>
    <w:qFormat/>
    <w:rsid w:val="00E06C89"/>
    <w:pPr>
      <w:ind w:left="0" w:firstLine="0"/>
      <w:outlineLvl w:val="7"/>
    </w:pPr>
  </w:style>
  <w:style w:type="paragraph" w:styleId="Heading9">
    <w:name w:val="heading 9"/>
    <w:basedOn w:val="Heading8"/>
    <w:next w:val="Normal"/>
    <w:link w:val="Heading9Char"/>
    <w:qFormat/>
    <w:rsid w:val="00E06C89"/>
    <w:pPr>
      <w:outlineLvl w:val="8"/>
    </w:pPr>
  </w:style>
  <w:style w:type="character" w:default="1" w:styleId="DefaultParagraphFont">
    <w:name w:val="Default Paragraph Font"/>
    <w:uiPriority w:val="1"/>
    <w:semiHidden/>
    <w:unhideWhenUsed/>
    <w:rsid w:val="00E06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C89"/>
  </w:style>
  <w:style w:type="paragraph" w:styleId="TOC8">
    <w:name w:val="toc 8"/>
    <w:basedOn w:val="TOC1"/>
    <w:uiPriority w:val="39"/>
    <w:rsid w:val="00E06C89"/>
    <w:pPr>
      <w:spacing w:before="180"/>
      <w:ind w:left="2693" w:hanging="2693"/>
    </w:pPr>
    <w:rPr>
      <w:b/>
    </w:rPr>
  </w:style>
  <w:style w:type="paragraph" w:styleId="TOC1">
    <w:name w:val="toc 1"/>
    <w:uiPriority w:val="39"/>
    <w:rsid w:val="00E06C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06C89"/>
    <w:pPr>
      <w:keepNext/>
      <w:keepLines/>
      <w:spacing w:before="180"/>
      <w:jc w:val="center"/>
    </w:pPr>
  </w:style>
  <w:style w:type="paragraph" w:styleId="Caption">
    <w:name w:val="caption"/>
    <w:basedOn w:val="Normal"/>
    <w:next w:val="Normal"/>
    <w:qFormat/>
    <w:rsid w:val="00E06C89"/>
    <w:pPr>
      <w:spacing w:before="120" w:after="120"/>
    </w:pPr>
    <w:rPr>
      <w:b/>
      <w:lang w:eastAsia="en-GB"/>
    </w:rPr>
  </w:style>
  <w:style w:type="paragraph" w:styleId="TOC5">
    <w:name w:val="toc 5"/>
    <w:basedOn w:val="TOC4"/>
    <w:uiPriority w:val="39"/>
    <w:rsid w:val="00E06C89"/>
    <w:pPr>
      <w:ind w:left="1701" w:hanging="1701"/>
    </w:pPr>
  </w:style>
  <w:style w:type="paragraph" w:styleId="TOC4">
    <w:name w:val="toc 4"/>
    <w:basedOn w:val="TOC3"/>
    <w:uiPriority w:val="39"/>
    <w:rsid w:val="00E06C89"/>
    <w:pPr>
      <w:ind w:left="1418" w:hanging="1418"/>
    </w:pPr>
  </w:style>
  <w:style w:type="paragraph" w:styleId="TOC3">
    <w:name w:val="toc 3"/>
    <w:basedOn w:val="TOC2"/>
    <w:uiPriority w:val="39"/>
    <w:rsid w:val="00E06C89"/>
    <w:pPr>
      <w:ind w:left="1134" w:hanging="1134"/>
    </w:pPr>
  </w:style>
  <w:style w:type="paragraph" w:styleId="TOC2">
    <w:name w:val="toc 2"/>
    <w:basedOn w:val="TOC1"/>
    <w:uiPriority w:val="39"/>
    <w:rsid w:val="00E06C89"/>
    <w:pPr>
      <w:keepNext w:val="0"/>
      <w:spacing w:before="0"/>
      <w:ind w:left="851" w:hanging="851"/>
    </w:pPr>
    <w:rPr>
      <w:sz w:val="20"/>
    </w:rPr>
  </w:style>
  <w:style w:type="paragraph" w:styleId="Index2">
    <w:name w:val="index 2"/>
    <w:basedOn w:val="Index1"/>
    <w:rsid w:val="00E06C89"/>
    <w:pPr>
      <w:ind w:left="284"/>
    </w:pPr>
  </w:style>
  <w:style w:type="paragraph" w:styleId="Index1">
    <w:name w:val="index 1"/>
    <w:basedOn w:val="Normal"/>
    <w:rsid w:val="00E06C89"/>
    <w:pPr>
      <w:keepLines/>
      <w:spacing w:after="0"/>
    </w:pPr>
  </w:style>
  <w:style w:type="paragraph" w:styleId="DocumentMap">
    <w:name w:val="Document Map"/>
    <w:basedOn w:val="Normal"/>
    <w:link w:val="DocumentMapChar"/>
    <w:rsid w:val="00E06C89"/>
    <w:pPr>
      <w:shd w:val="clear" w:color="auto" w:fill="000080"/>
    </w:pPr>
    <w:rPr>
      <w:rFonts w:ascii="Tahoma" w:hAnsi="Tahoma" w:cs="Tahoma"/>
    </w:rPr>
  </w:style>
  <w:style w:type="paragraph" w:styleId="ListNumber2">
    <w:name w:val="List Number 2"/>
    <w:basedOn w:val="ListNumber"/>
    <w:rsid w:val="00E06C89"/>
    <w:pPr>
      <w:numPr>
        <w:numId w:val="22"/>
      </w:numPr>
    </w:pPr>
  </w:style>
  <w:style w:type="paragraph" w:styleId="ListNumber">
    <w:name w:val="List Number"/>
    <w:basedOn w:val="List"/>
    <w:rsid w:val="00E06C89"/>
    <w:pPr>
      <w:numPr>
        <w:numId w:val="21"/>
      </w:numPr>
    </w:pPr>
    <w:rPr>
      <w:lang w:eastAsia="ja-JP"/>
    </w:rPr>
  </w:style>
  <w:style w:type="paragraph" w:styleId="List">
    <w:name w:val="List"/>
    <w:basedOn w:val="BodyText"/>
    <w:rsid w:val="00E06C89"/>
    <w:pPr>
      <w:ind w:left="568" w:hanging="284"/>
    </w:pPr>
  </w:style>
  <w:style w:type="paragraph" w:styleId="Header">
    <w:name w:val="header"/>
    <w:link w:val="HeaderChar"/>
    <w:rsid w:val="00E06C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06C89"/>
    <w:rPr>
      <w:b/>
      <w:position w:val="6"/>
      <w:sz w:val="16"/>
    </w:rPr>
  </w:style>
  <w:style w:type="paragraph" w:styleId="FootnoteText">
    <w:name w:val="footnote text"/>
    <w:basedOn w:val="Normal"/>
    <w:link w:val="FootnoteTextChar"/>
    <w:rsid w:val="00E06C89"/>
    <w:pPr>
      <w:keepLines/>
      <w:spacing w:after="0"/>
      <w:ind w:left="454" w:hanging="454"/>
    </w:pPr>
    <w:rPr>
      <w:sz w:val="16"/>
    </w:rPr>
  </w:style>
  <w:style w:type="paragraph" w:customStyle="1" w:styleId="3GPPHeader">
    <w:name w:val="3GPP_Header"/>
    <w:basedOn w:val="BodyText"/>
    <w:rsid w:val="00E06C89"/>
    <w:pPr>
      <w:tabs>
        <w:tab w:val="left" w:pos="1701"/>
        <w:tab w:val="right" w:pos="9639"/>
      </w:tabs>
      <w:spacing w:after="240"/>
    </w:pPr>
    <w:rPr>
      <w:b/>
      <w:sz w:val="24"/>
    </w:rPr>
  </w:style>
  <w:style w:type="paragraph" w:styleId="TOC9">
    <w:name w:val="toc 9"/>
    <w:basedOn w:val="TOC8"/>
    <w:uiPriority w:val="39"/>
    <w:rsid w:val="00E06C89"/>
    <w:pPr>
      <w:ind w:left="1418" w:hanging="1418"/>
    </w:pPr>
  </w:style>
  <w:style w:type="paragraph" w:styleId="TOC6">
    <w:name w:val="toc 6"/>
    <w:basedOn w:val="TOC5"/>
    <w:next w:val="Normal"/>
    <w:uiPriority w:val="39"/>
    <w:rsid w:val="00E06C89"/>
    <w:pPr>
      <w:ind w:left="1985" w:hanging="1985"/>
    </w:pPr>
  </w:style>
  <w:style w:type="paragraph" w:styleId="TOC7">
    <w:name w:val="toc 7"/>
    <w:basedOn w:val="TOC6"/>
    <w:next w:val="Normal"/>
    <w:uiPriority w:val="39"/>
    <w:rsid w:val="00E06C89"/>
    <w:pPr>
      <w:ind w:left="2268" w:hanging="2268"/>
    </w:pPr>
  </w:style>
  <w:style w:type="paragraph" w:styleId="ListBullet2">
    <w:name w:val="List Bullet 2"/>
    <w:basedOn w:val="ListBullet"/>
    <w:rsid w:val="00E06C89"/>
    <w:pPr>
      <w:numPr>
        <w:numId w:val="17"/>
      </w:numPr>
    </w:pPr>
  </w:style>
  <w:style w:type="paragraph" w:styleId="ListBullet">
    <w:name w:val="List Bullet"/>
    <w:basedOn w:val="List"/>
    <w:rsid w:val="00E06C89"/>
    <w:pPr>
      <w:numPr>
        <w:numId w:val="16"/>
      </w:numPr>
    </w:pPr>
    <w:rPr>
      <w:lang w:eastAsia="ja-JP"/>
    </w:rPr>
  </w:style>
  <w:style w:type="paragraph" w:styleId="ListBullet3">
    <w:name w:val="List Bullet 3"/>
    <w:basedOn w:val="ListBullet2"/>
    <w:rsid w:val="00E06C89"/>
    <w:pPr>
      <w:numPr>
        <w:numId w:val="18"/>
      </w:numPr>
    </w:pPr>
  </w:style>
  <w:style w:type="paragraph" w:customStyle="1" w:styleId="EQ">
    <w:name w:val="EQ"/>
    <w:basedOn w:val="Normal"/>
    <w:next w:val="Normal"/>
    <w:rsid w:val="00E06C89"/>
    <w:pPr>
      <w:keepLines/>
      <w:tabs>
        <w:tab w:val="center" w:pos="4536"/>
        <w:tab w:val="right" w:pos="9072"/>
      </w:tabs>
    </w:pPr>
    <w:rPr>
      <w:noProof/>
    </w:rPr>
  </w:style>
  <w:style w:type="paragraph" w:styleId="List2">
    <w:name w:val="List 2"/>
    <w:basedOn w:val="List"/>
    <w:rsid w:val="00E06C89"/>
    <w:pPr>
      <w:ind w:left="851"/>
    </w:pPr>
    <w:rPr>
      <w:lang w:eastAsia="ja-JP"/>
    </w:rPr>
  </w:style>
  <w:style w:type="paragraph" w:styleId="List3">
    <w:name w:val="List 3"/>
    <w:basedOn w:val="List2"/>
    <w:rsid w:val="00E06C89"/>
    <w:pPr>
      <w:ind w:left="1135"/>
    </w:pPr>
  </w:style>
  <w:style w:type="paragraph" w:styleId="List4">
    <w:name w:val="List 4"/>
    <w:basedOn w:val="List3"/>
    <w:rsid w:val="00E06C89"/>
    <w:pPr>
      <w:ind w:left="1418"/>
    </w:pPr>
  </w:style>
  <w:style w:type="paragraph" w:styleId="List5">
    <w:name w:val="List 5"/>
    <w:basedOn w:val="List4"/>
    <w:rsid w:val="00E06C89"/>
    <w:pPr>
      <w:ind w:left="1702"/>
    </w:pPr>
  </w:style>
  <w:style w:type="paragraph" w:customStyle="1" w:styleId="EditorsNote">
    <w:name w:val="Editor's Note"/>
    <w:basedOn w:val="NO"/>
    <w:link w:val="EditorsNoteChar"/>
    <w:rsid w:val="00E06C89"/>
    <w:rPr>
      <w:color w:val="FF0000"/>
      <w:lang w:val="x-none" w:eastAsia="x-none"/>
    </w:rPr>
  </w:style>
  <w:style w:type="paragraph" w:styleId="ListBullet4">
    <w:name w:val="List Bullet 4"/>
    <w:basedOn w:val="ListBullet3"/>
    <w:rsid w:val="00E06C89"/>
    <w:pPr>
      <w:numPr>
        <w:numId w:val="19"/>
      </w:numPr>
    </w:pPr>
  </w:style>
  <w:style w:type="paragraph" w:styleId="ListBullet5">
    <w:name w:val="List Bullet 5"/>
    <w:basedOn w:val="ListBullet4"/>
    <w:rsid w:val="00E06C89"/>
    <w:pPr>
      <w:numPr>
        <w:numId w:val="20"/>
      </w:numPr>
    </w:pPr>
  </w:style>
  <w:style w:type="paragraph" w:styleId="Footer">
    <w:name w:val="footer"/>
    <w:basedOn w:val="Header"/>
    <w:link w:val="FooterChar"/>
    <w:rsid w:val="00E06C89"/>
    <w:pPr>
      <w:jc w:val="center"/>
    </w:pPr>
    <w:rPr>
      <w:i/>
    </w:rPr>
  </w:style>
  <w:style w:type="paragraph" w:customStyle="1" w:styleId="Reference">
    <w:name w:val="Reference"/>
    <w:basedOn w:val="BodyText"/>
    <w:rsid w:val="00E06C89"/>
    <w:pPr>
      <w:numPr>
        <w:numId w:val="2"/>
      </w:numPr>
    </w:pPr>
  </w:style>
  <w:style w:type="paragraph" w:styleId="BalloonText">
    <w:name w:val="Balloon Text"/>
    <w:basedOn w:val="Normal"/>
    <w:link w:val="BalloonTextChar"/>
    <w:rsid w:val="00E06C89"/>
    <w:pPr>
      <w:spacing w:after="0"/>
    </w:pPr>
    <w:rPr>
      <w:rFonts w:ascii="Segoe UI" w:hAnsi="Segoe UI" w:cs="Segoe UI"/>
      <w:sz w:val="18"/>
      <w:szCs w:val="18"/>
    </w:rPr>
  </w:style>
  <w:style w:type="character" w:styleId="PageNumber">
    <w:name w:val="page number"/>
    <w:basedOn w:val="DefaultParagraphFont"/>
    <w:rsid w:val="00E06C89"/>
  </w:style>
  <w:style w:type="paragraph" w:styleId="BodyText">
    <w:name w:val="Body Text"/>
    <w:basedOn w:val="Normal"/>
    <w:link w:val="BodyTextChar"/>
    <w:rsid w:val="00E06C89"/>
    <w:pPr>
      <w:spacing w:after="120"/>
      <w:jc w:val="both"/>
    </w:pPr>
    <w:rPr>
      <w:rFonts w:ascii="Arial" w:hAnsi="Arial"/>
      <w:lang w:eastAsia="zh-CN"/>
    </w:rPr>
  </w:style>
  <w:style w:type="character" w:styleId="Hyperlink">
    <w:name w:val="Hyperlink"/>
    <w:uiPriority w:val="99"/>
    <w:rsid w:val="00E06C89"/>
    <w:rPr>
      <w:color w:val="0000FF"/>
      <w:u w:val="single"/>
    </w:rPr>
  </w:style>
  <w:style w:type="character" w:styleId="FollowedHyperlink">
    <w:name w:val="FollowedHyperlink"/>
    <w:unhideWhenUsed/>
    <w:rsid w:val="00E06C89"/>
    <w:rPr>
      <w:color w:val="800080"/>
      <w:u w:val="single"/>
    </w:rPr>
  </w:style>
  <w:style w:type="character" w:styleId="CommentReference">
    <w:name w:val="annotation reference"/>
    <w:uiPriority w:val="99"/>
    <w:qFormat/>
    <w:rsid w:val="00E06C89"/>
    <w:rPr>
      <w:sz w:val="16"/>
      <w:szCs w:val="16"/>
    </w:rPr>
  </w:style>
  <w:style w:type="paragraph" w:styleId="CommentText">
    <w:name w:val="annotation text"/>
    <w:basedOn w:val="Normal"/>
    <w:link w:val="CommentTextChar"/>
    <w:uiPriority w:val="99"/>
    <w:qFormat/>
    <w:rsid w:val="00E06C89"/>
  </w:style>
  <w:style w:type="paragraph" w:styleId="CommentSubject">
    <w:name w:val="annotation subject"/>
    <w:basedOn w:val="CommentText"/>
    <w:next w:val="CommentText"/>
    <w:link w:val="CommentSubjectChar"/>
    <w:rsid w:val="00E06C89"/>
    <w:rPr>
      <w:b/>
      <w:bCs/>
    </w:rPr>
  </w:style>
  <w:style w:type="character" w:customStyle="1" w:styleId="Heading1Char">
    <w:name w:val="Heading 1 Char"/>
    <w:link w:val="Heading1"/>
    <w:rsid w:val="00E06C89"/>
    <w:rPr>
      <w:rFonts w:ascii="Arial" w:hAnsi="Arial"/>
      <w:sz w:val="36"/>
      <w:lang w:eastAsia="ja-JP"/>
    </w:rPr>
  </w:style>
  <w:style w:type="paragraph" w:customStyle="1" w:styleId="B1">
    <w:name w:val="B1"/>
    <w:basedOn w:val="List"/>
    <w:link w:val="B1Char1"/>
    <w:rsid w:val="00E06C89"/>
    <w:rPr>
      <w:rFonts w:ascii="Times New Roman" w:hAnsi="Times New Roman"/>
    </w:rPr>
  </w:style>
  <w:style w:type="paragraph" w:customStyle="1" w:styleId="B2">
    <w:name w:val="B2"/>
    <w:basedOn w:val="List2"/>
    <w:link w:val="B2Char"/>
    <w:rsid w:val="00E06C89"/>
    <w:rPr>
      <w:rFonts w:ascii="Times New Roman" w:hAnsi="Times New Roman"/>
    </w:rPr>
  </w:style>
  <w:style w:type="paragraph" w:customStyle="1" w:styleId="B3">
    <w:name w:val="B3"/>
    <w:basedOn w:val="List3"/>
    <w:link w:val="B3Char2"/>
    <w:rsid w:val="00E06C89"/>
    <w:rPr>
      <w:rFonts w:ascii="Times New Roman" w:hAnsi="Times New Roman"/>
    </w:rPr>
  </w:style>
  <w:style w:type="paragraph" w:customStyle="1" w:styleId="B4">
    <w:name w:val="B4"/>
    <w:basedOn w:val="List4"/>
    <w:link w:val="B4Char"/>
    <w:rsid w:val="00E06C89"/>
    <w:rPr>
      <w:rFonts w:ascii="Times New Roman" w:hAnsi="Times New Roman"/>
    </w:rPr>
  </w:style>
  <w:style w:type="paragraph" w:customStyle="1" w:styleId="Proposal">
    <w:name w:val="Proposal"/>
    <w:basedOn w:val="BodyText"/>
    <w:qFormat/>
    <w:rsid w:val="00E06C89"/>
    <w:pPr>
      <w:numPr>
        <w:numId w:val="3"/>
      </w:numPr>
      <w:tabs>
        <w:tab w:val="clear" w:pos="1304"/>
        <w:tab w:val="left" w:pos="1701"/>
      </w:tabs>
      <w:ind w:left="1701" w:hanging="1701"/>
    </w:pPr>
    <w:rPr>
      <w:b/>
      <w:bCs/>
    </w:rPr>
  </w:style>
  <w:style w:type="character" w:customStyle="1" w:styleId="BodyTextChar">
    <w:name w:val="Body Text Char"/>
    <w:link w:val="BodyText"/>
    <w:rsid w:val="00E06C89"/>
    <w:rPr>
      <w:rFonts w:ascii="Arial" w:hAnsi="Arial"/>
      <w:lang w:eastAsia="zh-CN"/>
    </w:rPr>
  </w:style>
  <w:style w:type="paragraph" w:customStyle="1" w:styleId="B5">
    <w:name w:val="B5"/>
    <w:basedOn w:val="List5"/>
    <w:link w:val="B5Char"/>
    <w:rsid w:val="00E06C89"/>
    <w:rPr>
      <w:rFonts w:ascii="Times New Roman" w:hAnsi="Times New Roman"/>
    </w:rPr>
  </w:style>
  <w:style w:type="paragraph" w:customStyle="1" w:styleId="EX">
    <w:name w:val="EX"/>
    <w:basedOn w:val="Normal"/>
    <w:rsid w:val="00E06C89"/>
    <w:pPr>
      <w:keepLines/>
      <w:ind w:left="1702" w:hanging="1418"/>
    </w:pPr>
  </w:style>
  <w:style w:type="paragraph" w:customStyle="1" w:styleId="EW">
    <w:name w:val="EW"/>
    <w:basedOn w:val="EX"/>
    <w:rsid w:val="00E06C89"/>
    <w:pPr>
      <w:spacing w:after="0"/>
    </w:pPr>
  </w:style>
  <w:style w:type="paragraph" w:customStyle="1" w:styleId="TAL">
    <w:name w:val="TAL"/>
    <w:basedOn w:val="Normal"/>
    <w:link w:val="TALCar"/>
    <w:rsid w:val="00E06C89"/>
    <w:pPr>
      <w:keepNext/>
      <w:keepLines/>
      <w:spacing w:after="0"/>
    </w:pPr>
    <w:rPr>
      <w:rFonts w:ascii="Arial" w:hAnsi="Arial"/>
      <w:sz w:val="18"/>
      <w:lang w:val="x-none" w:eastAsia="x-none"/>
    </w:rPr>
  </w:style>
  <w:style w:type="paragraph" w:customStyle="1" w:styleId="TAC">
    <w:name w:val="TAC"/>
    <w:basedOn w:val="TAL"/>
    <w:rsid w:val="00E06C89"/>
    <w:pPr>
      <w:jc w:val="center"/>
    </w:pPr>
  </w:style>
  <w:style w:type="paragraph" w:customStyle="1" w:styleId="TAH">
    <w:name w:val="TAH"/>
    <w:basedOn w:val="TAC"/>
    <w:link w:val="TAHCar"/>
    <w:rsid w:val="00E06C89"/>
    <w:rPr>
      <w:b/>
    </w:rPr>
  </w:style>
  <w:style w:type="paragraph" w:customStyle="1" w:styleId="TAN">
    <w:name w:val="TAN"/>
    <w:basedOn w:val="TAL"/>
    <w:rsid w:val="00E06C89"/>
    <w:pPr>
      <w:ind w:left="851" w:hanging="851"/>
    </w:pPr>
  </w:style>
  <w:style w:type="paragraph" w:customStyle="1" w:styleId="TAR">
    <w:name w:val="TAR"/>
    <w:basedOn w:val="TAL"/>
    <w:rsid w:val="00E06C89"/>
    <w:pPr>
      <w:jc w:val="right"/>
    </w:pPr>
  </w:style>
  <w:style w:type="paragraph" w:customStyle="1" w:styleId="TH">
    <w:name w:val="TH"/>
    <w:basedOn w:val="Normal"/>
    <w:link w:val="THChar"/>
    <w:rsid w:val="00E06C89"/>
    <w:pPr>
      <w:keepNext/>
      <w:keepLines/>
      <w:spacing w:before="60"/>
      <w:jc w:val="center"/>
    </w:pPr>
    <w:rPr>
      <w:rFonts w:ascii="Arial" w:hAnsi="Arial"/>
      <w:b/>
      <w:lang w:val="x-none" w:eastAsia="x-none"/>
    </w:rPr>
  </w:style>
  <w:style w:type="paragraph" w:customStyle="1" w:styleId="TF">
    <w:name w:val="TF"/>
    <w:basedOn w:val="TH"/>
    <w:link w:val="TFChar"/>
    <w:rsid w:val="00E06C89"/>
    <w:pPr>
      <w:keepNext w:val="0"/>
      <w:spacing w:before="0" w:after="240"/>
    </w:pPr>
  </w:style>
  <w:style w:type="paragraph" w:customStyle="1" w:styleId="TT">
    <w:name w:val="TT"/>
    <w:basedOn w:val="Heading1"/>
    <w:next w:val="Normal"/>
    <w:rsid w:val="00E06C89"/>
    <w:pPr>
      <w:outlineLvl w:val="9"/>
    </w:pPr>
  </w:style>
  <w:style w:type="paragraph" w:customStyle="1" w:styleId="ZA">
    <w:name w:val="ZA"/>
    <w:rsid w:val="00E06C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06C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06C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06C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06C89"/>
  </w:style>
  <w:style w:type="paragraph" w:customStyle="1" w:styleId="ZH">
    <w:name w:val="ZH"/>
    <w:rsid w:val="00E06C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06C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06C89"/>
    <w:pPr>
      <w:framePr w:hRule="auto" w:wrap="notBeside" w:y="852"/>
    </w:pPr>
    <w:rPr>
      <w:i w:val="0"/>
      <w:sz w:val="40"/>
    </w:rPr>
  </w:style>
  <w:style w:type="paragraph" w:customStyle="1" w:styleId="ZU">
    <w:name w:val="ZU"/>
    <w:rsid w:val="00E06C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06C89"/>
    <w:pPr>
      <w:framePr w:wrap="notBeside" w:y="16161"/>
    </w:pPr>
  </w:style>
  <w:style w:type="paragraph" w:customStyle="1" w:styleId="FP">
    <w:name w:val="FP"/>
    <w:basedOn w:val="Normal"/>
    <w:rsid w:val="00E06C89"/>
    <w:pPr>
      <w:spacing w:after="0"/>
    </w:pPr>
  </w:style>
  <w:style w:type="paragraph" w:customStyle="1" w:styleId="Observation">
    <w:name w:val="Observation"/>
    <w:basedOn w:val="Proposal"/>
    <w:qFormat/>
    <w:rsid w:val="00E06C89"/>
    <w:pPr>
      <w:numPr>
        <w:numId w:val="13"/>
      </w:numPr>
      <w:ind w:left="1701" w:hanging="1701"/>
    </w:pPr>
    <w:rPr>
      <w:lang w:eastAsia="ja-JP"/>
    </w:rPr>
  </w:style>
  <w:style w:type="paragraph" w:styleId="TableofFigures">
    <w:name w:val="table of figures"/>
    <w:basedOn w:val="BodyText"/>
    <w:next w:val="Normal"/>
    <w:uiPriority w:val="99"/>
    <w:rsid w:val="00E06C89"/>
    <w:pPr>
      <w:ind w:left="1701" w:hanging="1701"/>
      <w:jc w:val="left"/>
    </w:pPr>
    <w:rPr>
      <w:b/>
    </w:rPr>
  </w:style>
  <w:style w:type="character" w:customStyle="1" w:styleId="B1Char1">
    <w:name w:val="B1 Char1"/>
    <w:link w:val="B1"/>
    <w:qFormat/>
    <w:rsid w:val="00E06C89"/>
    <w:rPr>
      <w:rFonts w:ascii="Times New Roman" w:hAnsi="Times New Roman"/>
      <w:lang w:eastAsia="zh-CN"/>
    </w:rPr>
  </w:style>
  <w:style w:type="character" w:customStyle="1" w:styleId="B2Char">
    <w:name w:val="B2 Char"/>
    <w:link w:val="B2"/>
    <w:qFormat/>
    <w:rsid w:val="00E06C89"/>
    <w:rPr>
      <w:rFonts w:ascii="Times New Roman" w:hAnsi="Times New Roman"/>
      <w:lang w:eastAsia="ja-JP"/>
    </w:rPr>
  </w:style>
  <w:style w:type="character" w:customStyle="1" w:styleId="B3Char2">
    <w:name w:val="B3 Char2"/>
    <w:link w:val="B3"/>
    <w:qFormat/>
    <w:rsid w:val="00E06C89"/>
    <w:rPr>
      <w:rFonts w:ascii="Times New Roman" w:hAnsi="Times New Roman"/>
      <w:lang w:eastAsia="ja-JP"/>
    </w:rPr>
  </w:style>
  <w:style w:type="character" w:customStyle="1" w:styleId="B4Char">
    <w:name w:val="B4 Char"/>
    <w:link w:val="B4"/>
    <w:rsid w:val="00E06C89"/>
    <w:rPr>
      <w:rFonts w:ascii="Times New Roman" w:hAnsi="Times New Roman"/>
      <w:lang w:eastAsia="ja-JP"/>
    </w:rPr>
  </w:style>
  <w:style w:type="character" w:customStyle="1" w:styleId="B5Char">
    <w:name w:val="B5 Char"/>
    <w:link w:val="B5"/>
    <w:rsid w:val="00E06C89"/>
    <w:rPr>
      <w:rFonts w:ascii="Times New Roman" w:hAnsi="Times New Roman"/>
      <w:lang w:eastAsia="ja-JP"/>
    </w:rPr>
  </w:style>
  <w:style w:type="paragraph" w:customStyle="1" w:styleId="B6">
    <w:name w:val="B6"/>
    <w:basedOn w:val="B5"/>
    <w:link w:val="B6Char"/>
    <w:rsid w:val="00E06C89"/>
    <w:pPr>
      <w:ind w:left="1985"/>
    </w:pPr>
  </w:style>
  <w:style w:type="character" w:customStyle="1" w:styleId="B6Char">
    <w:name w:val="B6 Char"/>
    <w:link w:val="B6"/>
    <w:rsid w:val="00E06C89"/>
    <w:rPr>
      <w:rFonts w:ascii="Times New Roman" w:hAnsi="Times New Roman"/>
      <w:lang w:eastAsia="ja-JP"/>
    </w:rPr>
  </w:style>
  <w:style w:type="paragraph" w:customStyle="1" w:styleId="B7">
    <w:name w:val="B7"/>
    <w:basedOn w:val="B6"/>
    <w:link w:val="B7Char"/>
    <w:rsid w:val="00E06C89"/>
    <w:pPr>
      <w:ind w:left="2269"/>
    </w:pPr>
  </w:style>
  <w:style w:type="character" w:customStyle="1" w:styleId="B7Char">
    <w:name w:val="B7 Char"/>
    <w:basedOn w:val="B6Char"/>
    <w:link w:val="B7"/>
    <w:rsid w:val="00E06C89"/>
    <w:rPr>
      <w:rFonts w:ascii="Times New Roman" w:hAnsi="Times New Roman"/>
      <w:lang w:eastAsia="ja-JP"/>
    </w:rPr>
  </w:style>
  <w:style w:type="paragraph" w:customStyle="1" w:styleId="B8">
    <w:name w:val="B8"/>
    <w:basedOn w:val="B7"/>
    <w:qFormat/>
    <w:rsid w:val="00E06C89"/>
    <w:pPr>
      <w:ind w:left="2552"/>
    </w:pPr>
  </w:style>
  <w:style w:type="character" w:customStyle="1" w:styleId="BalloonTextChar">
    <w:name w:val="Balloon Text Char"/>
    <w:link w:val="BalloonText"/>
    <w:rsid w:val="00E06C89"/>
    <w:rPr>
      <w:rFonts w:ascii="Segoe UI" w:hAnsi="Segoe UI" w:cs="Segoe UI"/>
      <w:sz w:val="18"/>
      <w:szCs w:val="18"/>
      <w:lang w:eastAsia="ja-JP"/>
    </w:rPr>
  </w:style>
  <w:style w:type="character" w:customStyle="1" w:styleId="CommentTextChar">
    <w:name w:val="Comment Text Char"/>
    <w:link w:val="CommentText"/>
    <w:uiPriority w:val="99"/>
    <w:qFormat/>
    <w:rsid w:val="00E06C89"/>
    <w:rPr>
      <w:rFonts w:ascii="Times New Roman" w:hAnsi="Times New Roman"/>
      <w:lang w:eastAsia="ja-JP"/>
    </w:rPr>
  </w:style>
  <w:style w:type="character" w:customStyle="1" w:styleId="CommentSubjectChar">
    <w:name w:val="Comment Subject Char"/>
    <w:link w:val="CommentSubject"/>
    <w:rsid w:val="00E06C89"/>
    <w:rPr>
      <w:rFonts w:ascii="Times New Roman" w:hAnsi="Times New Roman"/>
      <w:b/>
      <w:bCs/>
      <w:lang w:eastAsia="ja-JP"/>
    </w:rPr>
  </w:style>
  <w:style w:type="paragraph" w:customStyle="1" w:styleId="CRCoverPage">
    <w:name w:val="CR Cover Page"/>
    <w:link w:val="CRCoverPageZchn"/>
    <w:rsid w:val="00E06C89"/>
    <w:pPr>
      <w:spacing w:after="120"/>
    </w:pPr>
    <w:rPr>
      <w:rFonts w:ascii="Arial" w:hAnsi="Arial"/>
      <w:lang w:eastAsia="ko-KR"/>
    </w:rPr>
  </w:style>
  <w:style w:type="character" w:customStyle="1" w:styleId="CRCoverPageZchn">
    <w:name w:val="CR Cover Page Zchn"/>
    <w:link w:val="CRCoverPage"/>
    <w:rsid w:val="00E06C89"/>
    <w:rPr>
      <w:rFonts w:ascii="Arial" w:hAnsi="Arial"/>
      <w:lang w:eastAsia="ko-KR"/>
    </w:rPr>
  </w:style>
  <w:style w:type="paragraph" w:customStyle="1" w:styleId="Doc-text2">
    <w:name w:val="Doc-text2"/>
    <w:basedOn w:val="Normal"/>
    <w:link w:val="Doc-text2Char"/>
    <w:qFormat/>
    <w:rsid w:val="00E06C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06C89"/>
    <w:rPr>
      <w:rFonts w:ascii="Arial" w:eastAsia="MS Mincho" w:hAnsi="Arial"/>
      <w:szCs w:val="24"/>
      <w:lang w:val="x-none" w:eastAsia="x-none"/>
    </w:rPr>
  </w:style>
  <w:style w:type="character" w:customStyle="1" w:styleId="DocumentMapChar">
    <w:name w:val="Document Map Char"/>
    <w:link w:val="DocumentMap"/>
    <w:rsid w:val="00E06C89"/>
    <w:rPr>
      <w:rFonts w:ascii="Tahoma" w:hAnsi="Tahoma" w:cs="Tahoma"/>
      <w:shd w:val="clear" w:color="auto" w:fill="000080"/>
      <w:lang w:eastAsia="ja-JP"/>
    </w:rPr>
  </w:style>
  <w:style w:type="paragraph" w:customStyle="1" w:styleId="NO">
    <w:name w:val="NO"/>
    <w:basedOn w:val="Normal"/>
    <w:link w:val="NOChar"/>
    <w:rsid w:val="00E06C89"/>
    <w:pPr>
      <w:keepLines/>
      <w:ind w:left="1135" w:hanging="851"/>
    </w:pPr>
  </w:style>
  <w:style w:type="character" w:customStyle="1" w:styleId="NOChar">
    <w:name w:val="NO Char"/>
    <w:link w:val="NO"/>
    <w:qFormat/>
    <w:rsid w:val="00E06C89"/>
    <w:rPr>
      <w:rFonts w:ascii="Times New Roman" w:hAnsi="Times New Roman"/>
      <w:lang w:eastAsia="ja-JP"/>
    </w:rPr>
  </w:style>
  <w:style w:type="character" w:customStyle="1" w:styleId="EditorsNoteChar">
    <w:name w:val="Editor's Note Char"/>
    <w:link w:val="EditorsNote"/>
    <w:rsid w:val="00E06C89"/>
    <w:rPr>
      <w:rFonts w:ascii="Times New Roman" w:hAnsi="Times New Roman"/>
      <w:color w:val="FF0000"/>
      <w:lang w:val="x-none" w:eastAsia="x-none"/>
    </w:rPr>
  </w:style>
  <w:style w:type="paragraph" w:customStyle="1" w:styleId="EmailDiscussion">
    <w:name w:val="EmailDiscussion"/>
    <w:basedOn w:val="Normal"/>
    <w:next w:val="Normal"/>
    <w:rsid w:val="00E06C89"/>
    <w:pPr>
      <w:numPr>
        <w:numId w:val="14"/>
      </w:numPr>
      <w:spacing w:before="40" w:after="0"/>
    </w:pPr>
    <w:rPr>
      <w:rFonts w:ascii="Arial" w:eastAsia="MS Mincho" w:hAnsi="Arial"/>
      <w:b/>
      <w:szCs w:val="24"/>
      <w:lang w:eastAsia="en-GB"/>
    </w:rPr>
  </w:style>
  <w:style w:type="character" w:styleId="Emphasis">
    <w:name w:val="Emphasis"/>
    <w:qFormat/>
    <w:rsid w:val="00E06C89"/>
    <w:rPr>
      <w:i/>
      <w:iCs/>
    </w:rPr>
  </w:style>
  <w:style w:type="paragraph" w:customStyle="1" w:styleId="FigureTitle">
    <w:name w:val="Figure_Title"/>
    <w:basedOn w:val="Normal"/>
    <w:next w:val="Normal"/>
    <w:rsid w:val="00E06C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06C89"/>
    <w:rPr>
      <w:rFonts w:ascii="Arial" w:hAnsi="Arial"/>
      <w:b/>
      <w:noProof/>
      <w:sz w:val="18"/>
      <w:lang w:eastAsia="ja-JP"/>
    </w:rPr>
  </w:style>
  <w:style w:type="character" w:customStyle="1" w:styleId="FooterChar">
    <w:name w:val="Footer Char"/>
    <w:link w:val="Footer"/>
    <w:rsid w:val="00E06C89"/>
    <w:rPr>
      <w:rFonts w:ascii="Arial" w:hAnsi="Arial"/>
      <w:b/>
      <w:i/>
      <w:noProof/>
      <w:sz w:val="18"/>
      <w:lang w:eastAsia="ja-JP"/>
    </w:rPr>
  </w:style>
  <w:style w:type="character" w:customStyle="1" w:styleId="FootnoteTextChar">
    <w:name w:val="Footnote Text Char"/>
    <w:link w:val="FootnoteText"/>
    <w:rsid w:val="00E06C89"/>
    <w:rPr>
      <w:rFonts w:ascii="Times New Roman" w:hAnsi="Times New Roman"/>
      <w:sz w:val="16"/>
      <w:lang w:eastAsia="ja-JP"/>
    </w:rPr>
  </w:style>
  <w:style w:type="paragraph" w:customStyle="1" w:styleId="Guidance">
    <w:name w:val="Guidance"/>
    <w:basedOn w:val="Normal"/>
    <w:rsid w:val="00E06C89"/>
    <w:rPr>
      <w:i/>
      <w:color w:val="0000FF"/>
    </w:rPr>
  </w:style>
  <w:style w:type="character" w:customStyle="1" w:styleId="Heading2Char">
    <w:name w:val="Heading 2 Char"/>
    <w:link w:val="Heading2"/>
    <w:rsid w:val="00E06C89"/>
    <w:rPr>
      <w:rFonts w:ascii="Arial" w:hAnsi="Arial"/>
      <w:sz w:val="32"/>
      <w:lang w:eastAsia="ja-JP"/>
    </w:rPr>
  </w:style>
  <w:style w:type="character" w:customStyle="1" w:styleId="Heading3Char">
    <w:name w:val="Heading 3 Char"/>
    <w:link w:val="Heading3"/>
    <w:rsid w:val="00E06C89"/>
    <w:rPr>
      <w:rFonts w:ascii="Arial" w:hAnsi="Arial"/>
      <w:sz w:val="28"/>
      <w:lang w:eastAsia="ja-JP"/>
    </w:rPr>
  </w:style>
  <w:style w:type="character" w:customStyle="1" w:styleId="Heading4Char">
    <w:name w:val="Heading 4 Char"/>
    <w:link w:val="Heading4"/>
    <w:rsid w:val="00E06C89"/>
    <w:rPr>
      <w:rFonts w:ascii="Arial" w:hAnsi="Arial"/>
      <w:sz w:val="24"/>
      <w:lang w:eastAsia="ja-JP"/>
    </w:rPr>
  </w:style>
  <w:style w:type="character" w:customStyle="1" w:styleId="Heading5Char">
    <w:name w:val="Heading 5 Char"/>
    <w:link w:val="Heading5"/>
    <w:rsid w:val="00E06C89"/>
    <w:rPr>
      <w:rFonts w:ascii="Arial" w:hAnsi="Arial"/>
      <w:sz w:val="22"/>
      <w:lang w:eastAsia="ja-JP"/>
    </w:rPr>
  </w:style>
  <w:style w:type="paragraph" w:customStyle="1" w:styleId="H6">
    <w:name w:val="H6"/>
    <w:basedOn w:val="Heading5"/>
    <w:next w:val="Normal"/>
    <w:rsid w:val="00E06C89"/>
    <w:pPr>
      <w:ind w:left="1985" w:hanging="1985"/>
      <w:outlineLvl w:val="9"/>
    </w:pPr>
    <w:rPr>
      <w:sz w:val="20"/>
    </w:rPr>
  </w:style>
  <w:style w:type="character" w:customStyle="1" w:styleId="Heading6Char">
    <w:name w:val="Heading 6 Char"/>
    <w:link w:val="Heading6"/>
    <w:rsid w:val="00E06C89"/>
    <w:rPr>
      <w:rFonts w:ascii="Arial" w:hAnsi="Arial"/>
      <w:lang w:eastAsia="ja-JP"/>
    </w:rPr>
  </w:style>
  <w:style w:type="character" w:customStyle="1" w:styleId="Heading7Char">
    <w:name w:val="Heading 7 Char"/>
    <w:link w:val="Heading7"/>
    <w:rsid w:val="00E06C89"/>
    <w:rPr>
      <w:rFonts w:ascii="Arial" w:hAnsi="Arial"/>
      <w:lang w:eastAsia="ja-JP"/>
    </w:rPr>
  </w:style>
  <w:style w:type="character" w:customStyle="1" w:styleId="Heading8Char">
    <w:name w:val="Heading 8 Char"/>
    <w:link w:val="Heading8"/>
    <w:rsid w:val="00E06C89"/>
    <w:rPr>
      <w:rFonts w:ascii="Arial" w:hAnsi="Arial"/>
      <w:sz w:val="36"/>
      <w:lang w:eastAsia="ja-JP"/>
    </w:rPr>
  </w:style>
  <w:style w:type="character" w:customStyle="1" w:styleId="Heading9Char">
    <w:name w:val="Heading 9 Char"/>
    <w:link w:val="Heading9"/>
    <w:rsid w:val="00E06C89"/>
    <w:rPr>
      <w:rFonts w:ascii="Arial" w:hAnsi="Arial"/>
      <w:sz w:val="36"/>
      <w:lang w:eastAsia="ja-JP"/>
    </w:rPr>
  </w:style>
  <w:style w:type="character" w:styleId="HTMLCode">
    <w:name w:val="HTML Code"/>
    <w:uiPriority w:val="99"/>
    <w:unhideWhenUsed/>
    <w:rsid w:val="00E06C89"/>
    <w:rPr>
      <w:rFonts w:ascii="Courier New" w:eastAsia="Times New Roman" w:hAnsi="Courier New" w:cs="Courier New"/>
      <w:sz w:val="20"/>
      <w:szCs w:val="20"/>
    </w:rPr>
  </w:style>
  <w:style w:type="paragraph" w:styleId="IndexHeading">
    <w:name w:val="index heading"/>
    <w:basedOn w:val="Normal"/>
    <w:next w:val="Normal"/>
    <w:rsid w:val="00E06C89"/>
    <w:pPr>
      <w:pBdr>
        <w:top w:val="single" w:sz="12" w:space="0" w:color="auto"/>
      </w:pBdr>
      <w:spacing w:before="360" w:after="240"/>
    </w:pPr>
    <w:rPr>
      <w:b/>
      <w:i/>
      <w:sz w:val="26"/>
      <w:lang w:eastAsia="en-GB"/>
    </w:rPr>
  </w:style>
  <w:style w:type="paragraph" w:customStyle="1" w:styleId="LD">
    <w:name w:val="LD"/>
    <w:rsid w:val="00E06C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06C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06C89"/>
    <w:rPr>
      <w:rFonts w:ascii="Calibri" w:eastAsia="Calibri" w:hAnsi="Calibri"/>
      <w:sz w:val="22"/>
      <w:szCs w:val="22"/>
      <w:lang w:val="x-none" w:eastAsia="en-US"/>
    </w:rPr>
  </w:style>
  <w:style w:type="paragraph" w:customStyle="1" w:styleId="NF">
    <w:name w:val="NF"/>
    <w:basedOn w:val="NO"/>
    <w:rsid w:val="00E06C89"/>
    <w:pPr>
      <w:keepNext/>
      <w:spacing w:after="0"/>
    </w:pPr>
    <w:rPr>
      <w:rFonts w:ascii="Arial" w:hAnsi="Arial"/>
      <w:sz w:val="18"/>
    </w:rPr>
  </w:style>
  <w:style w:type="paragraph" w:customStyle="1" w:styleId="NW">
    <w:name w:val="NW"/>
    <w:basedOn w:val="NO"/>
    <w:rsid w:val="00E06C89"/>
    <w:pPr>
      <w:spacing w:after="0"/>
    </w:pPr>
  </w:style>
  <w:style w:type="paragraph" w:customStyle="1" w:styleId="PL">
    <w:name w:val="PL"/>
    <w:link w:val="PLChar"/>
    <w:qFormat/>
    <w:rsid w:val="00E06C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06C89"/>
    <w:rPr>
      <w:rFonts w:ascii="Courier New" w:eastAsia="Batang" w:hAnsi="Courier New"/>
      <w:noProof/>
      <w:sz w:val="16"/>
      <w:shd w:val="clear" w:color="auto" w:fill="E6E6E6"/>
      <w:lang w:eastAsia="sv-SE"/>
    </w:rPr>
  </w:style>
  <w:style w:type="paragraph" w:styleId="PlainText">
    <w:name w:val="Plain Text"/>
    <w:basedOn w:val="Normal"/>
    <w:link w:val="PlainTextChar"/>
    <w:rsid w:val="00E06C89"/>
    <w:rPr>
      <w:rFonts w:ascii="Courier New" w:hAnsi="Courier New"/>
      <w:lang w:val="nb-NO"/>
    </w:rPr>
  </w:style>
  <w:style w:type="character" w:customStyle="1" w:styleId="PlainTextChar">
    <w:name w:val="Plain Text Char"/>
    <w:link w:val="PlainText"/>
    <w:rsid w:val="00E06C89"/>
    <w:rPr>
      <w:rFonts w:ascii="Courier New" w:hAnsi="Courier New"/>
      <w:lang w:val="nb-NO" w:eastAsia="ja-JP"/>
    </w:rPr>
  </w:style>
  <w:style w:type="character" w:styleId="Strong">
    <w:name w:val="Strong"/>
    <w:uiPriority w:val="22"/>
    <w:qFormat/>
    <w:rsid w:val="00E06C89"/>
    <w:rPr>
      <w:b/>
      <w:bCs/>
    </w:rPr>
  </w:style>
  <w:style w:type="table" w:styleId="TableGrid">
    <w:name w:val="Table Grid"/>
    <w:basedOn w:val="TableNormal"/>
    <w:uiPriority w:val="39"/>
    <w:rsid w:val="00E06C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06C89"/>
    <w:rPr>
      <w:rFonts w:ascii="Arial" w:hAnsi="Arial"/>
      <w:sz w:val="18"/>
      <w:lang w:val="x-none" w:eastAsia="x-none"/>
    </w:rPr>
  </w:style>
  <w:style w:type="character" w:customStyle="1" w:styleId="TAHCar">
    <w:name w:val="TAH Car"/>
    <w:link w:val="TAH"/>
    <w:locked/>
    <w:rsid w:val="00E06C89"/>
    <w:rPr>
      <w:rFonts w:ascii="Arial" w:hAnsi="Arial"/>
      <w:b/>
      <w:sz w:val="18"/>
      <w:lang w:val="x-none" w:eastAsia="x-none"/>
    </w:rPr>
  </w:style>
  <w:style w:type="character" w:customStyle="1" w:styleId="THChar">
    <w:name w:val="TH Char"/>
    <w:link w:val="TH"/>
    <w:rsid w:val="00E06C89"/>
    <w:rPr>
      <w:rFonts w:ascii="Arial" w:hAnsi="Arial"/>
      <w:b/>
      <w:lang w:val="x-none" w:eastAsia="x-none"/>
    </w:rPr>
  </w:style>
  <w:style w:type="paragraph" w:customStyle="1" w:styleId="TAJ">
    <w:name w:val="TAJ"/>
    <w:basedOn w:val="TH"/>
    <w:rsid w:val="00E06C89"/>
  </w:style>
  <w:style w:type="paragraph" w:customStyle="1" w:styleId="TALCharChar">
    <w:name w:val="TAL Char Char"/>
    <w:basedOn w:val="Normal"/>
    <w:link w:val="TALCharCharChar"/>
    <w:rsid w:val="00E06C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06C89"/>
    <w:rPr>
      <w:rFonts w:ascii="Arial" w:eastAsia="Malgun Gothic" w:hAnsi="Arial"/>
      <w:sz w:val="18"/>
      <w:lang w:val="x-none" w:eastAsia="x-none"/>
    </w:rPr>
  </w:style>
  <w:style w:type="character" w:customStyle="1" w:styleId="TFChar">
    <w:name w:val="TF Char"/>
    <w:link w:val="TF"/>
    <w:rsid w:val="00E06C89"/>
    <w:rPr>
      <w:rFonts w:ascii="Arial" w:hAnsi="Arial"/>
      <w:b/>
      <w:lang w:val="x-none" w:eastAsia="x-none"/>
    </w:rPr>
  </w:style>
  <w:style w:type="paragraph" w:styleId="ListContinue">
    <w:name w:val="List Continue"/>
    <w:basedOn w:val="Normal"/>
    <w:rsid w:val="00E06C89"/>
    <w:pPr>
      <w:spacing w:after="120"/>
      <w:ind w:left="283"/>
      <w:contextualSpacing/>
    </w:pPr>
    <w:rPr>
      <w:rFonts w:ascii="Arial" w:hAnsi="Arial"/>
    </w:rPr>
  </w:style>
  <w:style w:type="paragraph" w:styleId="ListContinue2">
    <w:name w:val="List Continue 2"/>
    <w:basedOn w:val="Normal"/>
    <w:rsid w:val="00E06C89"/>
    <w:pPr>
      <w:spacing w:after="120"/>
      <w:ind w:left="566"/>
      <w:contextualSpacing/>
    </w:pPr>
    <w:rPr>
      <w:rFonts w:ascii="Arial" w:hAnsi="Arial"/>
    </w:rPr>
  </w:style>
  <w:style w:type="paragraph" w:styleId="ListNumber3">
    <w:name w:val="List Number 3"/>
    <w:basedOn w:val="ListNumber2"/>
    <w:rsid w:val="00E06C89"/>
    <w:pPr>
      <w:numPr>
        <w:numId w:val="10"/>
      </w:numPr>
      <w:contextualSpacing/>
    </w:pPr>
  </w:style>
  <w:style w:type="paragraph" w:customStyle="1" w:styleId="Normal1CharChar">
    <w:name w:val="Normal1 Char Char"/>
    <w:uiPriority w:val="99"/>
    <w:qFormat/>
    <w:rsid w:val="00AF5552"/>
    <w:pPr>
      <w:keepNext/>
      <w:numPr>
        <w:numId w:val="25"/>
      </w:numPr>
      <w:kinsoku w:val="0"/>
      <w:overflowPunct w:val="0"/>
      <w:autoSpaceDE w:val="0"/>
      <w:autoSpaceDN w:val="0"/>
      <w:adjustRightInd w:val="0"/>
      <w:spacing w:before="60" w:after="60"/>
      <w:jc w:val="both"/>
    </w:pPr>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20AB\Documents_Yufei\NewRAT_5G\MAUI_URLLC\URLLC_CMTC\3GPP_contribution\RAN1_100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8" ma:contentTypeDescription="Create a new document." ma:contentTypeScope="" ma:versionID="6cca6519d8555d0f30ecea92b3f61e09">
  <xsd:schema xmlns:xsd="http://www.w3.org/2001/XMLSchema" xmlns:xs="http://www.w3.org/2001/XMLSchema" xmlns:p="http://schemas.microsoft.com/office/2006/metadata/properties" xmlns:ns3="f0c1c198-6772-4070-9fed-c99b54821fd3" targetNamespace="http://schemas.microsoft.com/office/2006/metadata/properties" ma:root="true" ma:fieldsID="68555e150b4a53948a29f622c3f7f78d"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A9D40-29FD-49C5-A5FC-4932C7667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CE0C69-7825-4248-A4C8-6E7CEC20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RAN1_100_template</Template>
  <TotalTime>412</TotalTime>
  <Pages>8</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45</cp:revision>
  <cp:lastPrinted>2008-01-31T07:09:00Z</cp:lastPrinted>
  <dcterms:created xsi:type="dcterms:W3CDTF">2020-04-10T16:37:00Z</dcterms:created>
  <dcterms:modified xsi:type="dcterms:W3CDTF">2020-04-11T07:31:00Z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0x0101003C4C8F31E74DF74E8FCFF284B4431CE2</vt:lpwstr>
  </property>
</Properties>
</file>